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FB4" w:rsidRDefault="00273FB4">
      <w:pPr>
        <w:pStyle w:val="ConsPlusNormal"/>
        <w:jc w:val="center"/>
        <w:rPr>
          <w:rFonts w:ascii="Times New Roman" w:hAnsi="Times New Roman" w:cs="Times New Roman"/>
          <w:sz w:val="26"/>
          <w:szCs w:val="26"/>
        </w:rPr>
      </w:pPr>
      <w:bookmarkStart w:id="0" w:name="P624"/>
      <w:bookmarkEnd w:id="0"/>
    </w:p>
    <w:p w:rsidR="00273FB4" w:rsidRDefault="00273FB4">
      <w:pPr>
        <w:pStyle w:val="ConsPlusNormal"/>
        <w:jc w:val="center"/>
        <w:rPr>
          <w:rFonts w:ascii="Times New Roman" w:hAnsi="Times New Roman" w:cs="Times New Roman"/>
          <w:sz w:val="26"/>
          <w:szCs w:val="26"/>
        </w:rPr>
      </w:pPr>
    </w:p>
    <w:p w:rsidR="001F6529" w:rsidRPr="008C0E0A" w:rsidRDefault="001F6529">
      <w:pPr>
        <w:pStyle w:val="ConsPlusNormal"/>
        <w:jc w:val="center"/>
        <w:rPr>
          <w:rFonts w:ascii="Times New Roman" w:hAnsi="Times New Roman" w:cs="Times New Roman"/>
          <w:sz w:val="26"/>
          <w:szCs w:val="26"/>
        </w:rPr>
      </w:pPr>
      <w:r w:rsidRPr="008C0E0A">
        <w:rPr>
          <w:rFonts w:ascii="Times New Roman" w:hAnsi="Times New Roman" w:cs="Times New Roman"/>
          <w:sz w:val="26"/>
          <w:szCs w:val="26"/>
        </w:rPr>
        <w:t>Техническое задание</w:t>
      </w:r>
    </w:p>
    <w:p w:rsidR="001F6529" w:rsidRPr="008C0E0A" w:rsidRDefault="001F6529">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38"/>
        <w:gridCol w:w="7513"/>
      </w:tblGrid>
      <w:tr w:rsidR="001F6529" w:rsidRPr="00F759CF" w:rsidTr="00F43299">
        <w:tc>
          <w:tcPr>
            <w:tcW w:w="1838" w:type="dxa"/>
          </w:tcPr>
          <w:p w:rsidR="001F6529" w:rsidRPr="00F759CF" w:rsidRDefault="001F6529" w:rsidP="00273FB4">
            <w:pPr>
              <w:pStyle w:val="ConsPlusNormal"/>
              <w:jc w:val="center"/>
              <w:rPr>
                <w:rFonts w:ascii="Times New Roman" w:hAnsi="Times New Roman" w:cs="Times New Roman"/>
                <w:sz w:val="24"/>
                <w:szCs w:val="24"/>
              </w:rPr>
            </w:pPr>
            <w:r w:rsidRPr="00F759CF">
              <w:rPr>
                <w:rFonts w:ascii="Times New Roman" w:hAnsi="Times New Roman" w:cs="Times New Roman"/>
                <w:sz w:val="24"/>
                <w:szCs w:val="24"/>
              </w:rPr>
              <w:t xml:space="preserve">Наименование Товара </w:t>
            </w:r>
            <w:r w:rsidR="00273FB4" w:rsidRPr="00F759CF">
              <w:rPr>
                <w:rFonts w:ascii="Times New Roman" w:hAnsi="Times New Roman" w:cs="Times New Roman"/>
                <w:sz w:val="24"/>
                <w:szCs w:val="24"/>
              </w:rPr>
              <w:t>*</w:t>
            </w:r>
          </w:p>
        </w:tc>
        <w:tc>
          <w:tcPr>
            <w:tcW w:w="7513" w:type="dxa"/>
          </w:tcPr>
          <w:p w:rsidR="001F6529" w:rsidRPr="00F759CF" w:rsidRDefault="001F6529">
            <w:pPr>
              <w:pStyle w:val="ConsPlusNormal"/>
              <w:jc w:val="center"/>
              <w:rPr>
                <w:rFonts w:ascii="Times New Roman" w:hAnsi="Times New Roman" w:cs="Times New Roman"/>
                <w:sz w:val="24"/>
                <w:szCs w:val="24"/>
              </w:rPr>
            </w:pPr>
            <w:r w:rsidRPr="00F759CF">
              <w:rPr>
                <w:rFonts w:ascii="Times New Roman" w:hAnsi="Times New Roman" w:cs="Times New Roman"/>
                <w:sz w:val="24"/>
                <w:szCs w:val="24"/>
              </w:rPr>
              <w:t>Требования, предъявляемые к качеству, безопасности, упаковке, маркировке, транспортированию и хранению, а также к техническим и функциональным характеристикам Товара</w:t>
            </w:r>
          </w:p>
        </w:tc>
      </w:tr>
      <w:tr w:rsidR="001F6529" w:rsidRPr="008C0E0A" w:rsidTr="00F43299">
        <w:tc>
          <w:tcPr>
            <w:tcW w:w="1838" w:type="dxa"/>
          </w:tcPr>
          <w:p w:rsidR="004D2A3E" w:rsidRPr="00F759CF" w:rsidRDefault="004D2A3E" w:rsidP="004D2A3E">
            <w:pPr>
              <w:pStyle w:val="ConsPlusNonformat"/>
              <w:jc w:val="center"/>
              <w:rPr>
                <w:rFonts w:ascii="Times New Roman" w:hAnsi="Times New Roman" w:cs="Times New Roman"/>
                <w:sz w:val="24"/>
              </w:rPr>
            </w:pPr>
            <w:r w:rsidRPr="00F759CF">
              <w:rPr>
                <w:rFonts w:ascii="Times New Roman" w:hAnsi="Times New Roman" w:cs="Times New Roman"/>
                <w:sz w:val="24"/>
              </w:rPr>
              <w:t xml:space="preserve">Сигнализатороы звука цифровых с вибрационной индикацией, с вибрационной и световой индикацией  </w:t>
            </w:r>
          </w:p>
          <w:p w:rsidR="004D2A3E" w:rsidRPr="00F759CF" w:rsidRDefault="004D2A3E" w:rsidP="004D2A3E">
            <w:pPr>
              <w:pStyle w:val="af0"/>
              <w:snapToGrid w:val="0"/>
              <w:rPr>
                <w:szCs w:val="20"/>
              </w:rPr>
            </w:pPr>
          </w:p>
          <w:p w:rsidR="004D2A3E" w:rsidRPr="00F759CF" w:rsidRDefault="004D2A3E" w:rsidP="004D2A3E">
            <w:pPr>
              <w:pStyle w:val="ConsPlusNonformat"/>
              <w:jc w:val="center"/>
              <w:rPr>
                <w:rFonts w:ascii="Times New Roman" w:hAnsi="Times New Roman" w:cs="Times New Roman"/>
                <w:sz w:val="24"/>
              </w:rPr>
            </w:pPr>
            <w:r w:rsidRPr="00F759CF">
              <w:rPr>
                <w:rFonts w:ascii="Times New Roman" w:hAnsi="Times New Roman" w:cs="Times New Roman"/>
                <w:sz w:val="24"/>
              </w:rPr>
              <w:t>Страна происхождения:</w:t>
            </w:r>
          </w:p>
          <w:p w:rsidR="00862723" w:rsidRPr="00F759CF" w:rsidRDefault="00862723" w:rsidP="004D2A3E">
            <w:pPr>
              <w:pStyle w:val="ConsPlusNonformat"/>
              <w:jc w:val="center"/>
              <w:rPr>
                <w:rFonts w:ascii="Times New Roman" w:hAnsi="Times New Roman" w:cs="Times New Roman"/>
                <w:sz w:val="24"/>
              </w:rPr>
            </w:pPr>
            <w:r w:rsidRPr="00F759CF">
              <w:rPr>
                <w:rFonts w:ascii="Times New Roman" w:hAnsi="Times New Roman" w:cs="Times New Roman"/>
                <w:sz w:val="24"/>
              </w:rPr>
              <w:t>Россия</w:t>
            </w:r>
          </w:p>
          <w:p w:rsidR="004D2A3E" w:rsidRPr="004D2A3E" w:rsidRDefault="004D2A3E" w:rsidP="004D2A3E">
            <w:pPr>
              <w:pStyle w:val="af0"/>
              <w:snapToGrid w:val="0"/>
              <w:rPr>
                <w:b/>
                <w:sz w:val="20"/>
                <w:szCs w:val="20"/>
              </w:rPr>
            </w:pPr>
          </w:p>
        </w:tc>
        <w:tc>
          <w:tcPr>
            <w:tcW w:w="7513" w:type="dxa"/>
          </w:tcPr>
          <w:p w:rsidR="004D2A3E" w:rsidRPr="005D6BB5" w:rsidRDefault="004D2A3E" w:rsidP="005D6BB5">
            <w:pPr>
              <w:ind w:firstLine="709"/>
              <w:contextualSpacing/>
              <w:rPr>
                <w:b/>
                <w:color w:val="000000"/>
              </w:rPr>
            </w:pPr>
            <w:r w:rsidRPr="005D6BB5">
              <w:rPr>
                <w:b/>
                <w:color w:val="000000"/>
              </w:rPr>
              <w:t>Безопасность товара.</w:t>
            </w:r>
          </w:p>
          <w:p w:rsidR="004D2A3E" w:rsidRPr="005D6BB5" w:rsidRDefault="004D2A3E" w:rsidP="005D6BB5">
            <w:pPr>
              <w:ind w:firstLine="709"/>
              <w:contextualSpacing/>
              <w:jc w:val="both"/>
            </w:pPr>
            <w:r w:rsidRPr="005D6BB5">
              <w:t xml:space="preserve">Обязательная сертификация на соответствие требованиям электробезопасности и электромагнитной совместимости.  </w:t>
            </w:r>
          </w:p>
          <w:p w:rsidR="005D6BB5" w:rsidRDefault="004D2A3E" w:rsidP="005D6BB5">
            <w:pPr>
              <w:ind w:firstLine="709"/>
              <w:contextualSpacing/>
              <w:jc w:val="both"/>
            </w:pPr>
            <w:r w:rsidRPr="005D6BB5">
              <w:t>Материалы, из которых изготавливаются сигнализаторы звука цифровые не выделяют токсичных веществ при эксплуатации. В соответствии с Постановлением Правительства Российской Федерации от 16 июня 1997 № 720 «Об утверждении перечня товаров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 окружающей среде и на которые изготовитель обязан устанавливать срок службы, и перечня товаров, которые по истечении срока годности считаются непригодными для использования по назначению» срок службы сигнализатора звука цифрового составляет 5 лет.</w:t>
            </w:r>
          </w:p>
          <w:p w:rsidR="004D2A3E" w:rsidRPr="005D6BB5" w:rsidRDefault="004D2A3E" w:rsidP="005D6BB5">
            <w:pPr>
              <w:ind w:firstLine="709"/>
              <w:contextualSpacing/>
              <w:jc w:val="both"/>
            </w:pPr>
            <w:r w:rsidRPr="005D6BB5">
              <w:rPr>
                <w:b/>
              </w:rPr>
              <w:t>Упаковка и транспортировка товара.</w:t>
            </w:r>
          </w:p>
          <w:p w:rsidR="004D2A3E" w:rsidRPr="005D6BB5" w:rsidRDefault="004D2A3E" w:rsidP="005D6BB5">
            <w:pPr>
              <w:ind w:firstLine="709"/>
              <w:contextualSpacing/>
              <w:jc w:val="both"/>
            </w:pPr>
            <w:r w:rsidRPr="005D6BB5">
              <w:t>Сигнализатор звука цифровой упакован в индивидуальную упаковку, предохраняющую его от повреждений и загрязнения при транспортировке и хранении.</w:t>
            </w:r>
          </w:p>
          <w:p w:rsidR="004D2A3E" w:rsidRPr="005D6BB5" w:rsidRDefault="004D2A3E" w:rsidP="005D6BB5">
            <w:pPr>
              <w:ind w:firstLine="709"/>
              <w:contextualSpacing/>
              <w:jc w:val="both"/>
            </w:pPr>
            <w:r w:rsidRPr="005D6BB5">
              <w:t>На каждом сигнализаторе звука цифровом нанесен товарный знак, установленный для предприятия-изготовителя и маркировка.</w:t>
            </w:r>
          </w:p>
          <w:p w:rsidR="004D2A3E" w:rsidRPr="005D6BB5" w:rsidRDefault="004D2A3E" w:rsidP="005D6BB5">
            <w:pPr>
              <w:ind w:firstLine="709"/>
              <w:contextualSpacing/>
              <w:jc w:val="both"/>
            </w:pPr>
            <w:r w:rsidRPr="005D6BB5">
              <w:t xml:space="preserve">Транспортирование - любым видом крытого транспорта в соответствии с правилами перевозки грузов, действующим на данном виде транспорта. </w:t>
            </w:r>
          </w:p>
          <w:p w:rsidR="004D2A3E" w:rsidRPr="005D6BB5" w:rsidRDefault="004D2A3E" w:rsidP="005D6BB5">
            <w:pPr>
              <w:contextualSpacing/>
              <w:rPr>
                <w:b/>
                <w:color w:val="000000"/>
              </w:rPr>
            </w:pPr>
            <w:r w:rsidRPr="005D6BB5">
              <w:rPr>
                <w:b/>
                <w:color w:val="000000"/>
              </w:rPr>
              <w:t xml:space="preserve">            Срок и (или) объем предоставленных гарантий качества товара.</w:t>
            </w:r>
          </w:p>
          <w:p w:rsidR="004D2A3E" w:rsidRPr="005D6BB5" w:rsidRDefault="004D2A3E" w:rsidP="005D6BB5">
            <w:pPr>
              <w:ind w:firstLine="709"/>
              <w:contextualSpacing/>
              <w:jc w:val="both"/>
            </w:pPr>
            <w:r w:rsidRPr="005D6BB5">
              <w:t>Гарантийный срок эксплуатации сигнализаторов составляет 12 месяцев. Срок гарантийного ремонта со дня обращения инвалида не превышает 20 рабочих дней.</w:t>
            </w:r>
          </w:p>
          <w:p w:rsidR="004D2A3E" w:rsidRPr="005D6BB5" w:rsidRDefault="004D2A3E" w:rsidP="005D6BB5">
            <w:pPr>
              <w:ind w:firstLine="709"/>
              <w:contextualSpacing/>
              <w:jc w:val="both"/>
            </w:pPr>
            <w:r w:rsidRPr="005D6BB5">
              <w:t>Наличие в комплекте поставки гарантийных талонов, дающих право на бесплатный ремонт изделия во время гарантийного срока с обязательным указанием адресов специализированных мастерских, в которые следует обращаться для гарантийного ремонта изделия и устранения неисправностей.</w:t>
            </w:r>
          </w:p>
          <w:p w:rsidR="004D2A3E" w:rsidRPr="005D6BB5" w:rsidRDefault="004D2A3E" w:rsidP="005D6BB5">
            <w:pPr>
              <w:ind w:firstLine="709"/>
              <w:contextualSpacing/>
              <w:jc w:val="both"/>
            </w:pPr>
            <w:r w:rsidRPr="005D6BB5">
              <w:t>Обеспечение возможности ремонта и технического обслуживания, устранения недостатков при обеспечении инвалидов сигнализаторами звука цифровыми осуществляется в соответствии с Федеральным законом от 07.02.1992 г. № 2300-1 «О защите прав потребителей».</w:t>
            </w:r>
          </w:p>
          <w:p w:rsidR="001F6529" w:rsidRPr="004D2A3E" w:rsidRDefault="004D2A3E" w:rsidP="005D6BB5">
            <w:pPr>
              <w:ind w:firstLine="709"/>
              <w:contextualSpacing/>
              <w:jc w:val="both"/>
            </w:pPr>
            <w:r w:rsidRPr="005D6BB5">
              <w:t>Поставка товара будет осуществляться по месту нахождения пунктов выдачи, открытых поставщиком (г. Смоленск, Смоленская область), либо на дому (по выбору получателя).</w:t>
            </w:r>
          </w:p>
        </w:tc>
      </w:tr>
    </w:tbl>
    <w:p w:rsidR="001F6529" w:rsidRPr="008C0E0A" w:rsidRDefault="001F6529">
      <w:pPr>
        <w:pStyle w:val="ConsPlusNormal"/>
        <w:jc w:val="both"/>
        <w:rPr>
          <w:rFonts w:ascii="Times New Roman" w:hAnsi="Times New Roman" w:cs="Times New Roman"/>
          <w:sz w:val="26"/>
          <w:szCs w:val="26"/>
        </w:rPr>
      </w:pPr>
    </w:p>
    <w:p w:rsidR="00767A24" w:rsidRDefault="00767A24">
      <w:pPr>
        <w:pStyle w:val="ConsPlusNormal"/>
        <w:jc w:val="both"/>
        <w:rPr>
          <w:rFonts w:ascii="Times New Roman" w:hAnsi="Times New Roman" w:cs="Times New Roman"/>
          <w:sz w:val="26"/>
          <w:szCs w:val="26"/>
        </w:rPr>
      </w:pPr>
    </w:p>
    <w:p w:rsidR="008E081A" w:rsidRPr="00767A24" w:rsidRDefault="009B670A" w:rsidP="008E081A">
      <w:pPr>
        <w:autoSpaceDE w:val="0"/>
        <w:ind w:firstLine="709"/>
        <w:jc w:val="center"/>
        <w:rPr>
          <w:b/>
          <w:color w:val="000000" w:themeColor="text1"/>
          <w:sz w:val="26"/>
          <w:szCs w:val="26"/>
          <w:lang w:eastAsia="ru-RU"/>
        </w:rPr>
      </w:pPr>
      <w:r w:rsidRPr="00767A24">
        <w:rPr>
          <w:b/>
          <w:color w:val="000000" w:themeColor="text1"/>
          <w:sz w:val="26"/>
          <w:szCs w:val="26"/>
          <w:lang w:eastAsia="ru-RU"/>
        </w:rPr>
        <w:t>Спецификация</w:t>
      </w:r>
    </w:p>
    <w:p w:rsidR="00722FFD" w:rsidRDefault="00722FFD" w:rsidP="00304E98">
      <w:pPr>
        <w:widowControl/>
        <w:jc w:val="both"/>
        <w:rPr>
          <w:lang w:eastAsia="ar-SA"/>
        </w:rPr>
      </w:pPr>
    </w:p>
    <w:p w:rsidR="007B62FC" w:rsidRPr="007B62FC" w:rsidRDefault="007B62FC" w:rsidP="007B62FC">
      <w:pPr>
        <w:widowControl/>
        <w:suppressAutoHyphens w:val="0"/>
        <w:autoSpaceDN/>
        <w:jc w:val="center"/>
        <w:textAlignment w:val="auto"/>
        <w:rPr>
          <w:rFonts w:eastAsia="Times New Roman" w:cs="Times New Roman"/>
          <w:kern w:val="0"/>
          <w:sz w:val="20"/>
          <w:szCs w:val="20"/>
          <w:lang w:eastAsia="ru-RU" w:bidi="ar-SA"/>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6"/>
        <w:gridCol w:w="5954"/>
        <w:gridCol w:w="992"/>
        <w:gridCol w:w="1276"/>
      </w:tblGrid>
      <w:tr w:rsidR="00351D08" w:rsidRPr="007B62FC" w:rsidTr="00F759CF">
        <w:trPr>
          <w:trHeight w:val="945"/>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351D08" w:rsidRPr="007B62FC" w:rsidRDefault="00351D08" w:rsidP="007B62FC">
            <w:pPr>
              <w:widowControl/>
              <w:suppressAutoHyphens w:val="0"/>
              <w:autoSpaceDN/>
              <w:jc w:val="center"/>
              <w:textAlignment w:val="auto"/>
              <w:rPr>
                <w:rFonts w:eastAsia="Times New Roman" w:cs="Times New Roman"/>
                <w:kern w:val="0"/>
                <w:lang w:eastAsia="ru-RU" w:bidi="ar-SA"/>
              </w:rPr>
            </w:pPr>
            <w:r w:rsidRPr="007B62FC">
              <w:rPr>
                <w:rFonts w:eastAsia="Times New Roman" w:cs="Times New Roman"/>
                <w:kern w:val="0"/>
                <w:lang w:eastAsia="ru-RU" w:bidi="ar-SA"/>
              </w:rPr>
              <w:t>Артикул модификации Товара</w:t>
            </w:r>
          </w:p>
        </w:tc>
        <w:tc>
          <w:tcPr>
            <w:tcW w:w="5954" w:type="dxa"/>
            <w:tcBorders>
              <w:top w:val="single" w:sz="4" w:space="0" w:color="auto"/>
              <w:left w:val="single" w:sz="4" w:space="0" w:color="auto"/>
              <w:bottom w:val="single" w:sz="4" w:space="0" w:color="auto"/>
              <w:right w:val="single" w:sz="4" w:space="0" w:color="auto"/>
            </w:tcBorders>
            <w:vAlign w:val="center"/>
            <w:hideMark/>
          </w:tcPr>
          <w:p w:rsidR="00351D08" w:rsidRPr="007B62FC" w:rsidRDefault="00351D08" w:rsidP="007B62FC">
            <w:pPr>
              <w:widowControl/>
              <w:suppressAutoHyphens w:val="0"/>
              <w:autoSpaceDN/>
              <w:jc w:val="center"/>
              <w:textAlignment w:val="auto"/>
              <w:rPr>
                <w:rFonts w:eastAsia="Times New Roman" w:cs="Times New Roman"/>
                <w:kern w:val="0"/>
                <w:lang w:eastAsia="ru-RU" w:bidi="ar-SA"/>
              </w:rPr>
            </w:pPr>
            <w:r w:rsidRPr="007B62FC">
              <w:rPr>
                <w:rFonts w:eastAsia="Times New Roman" w:cs="Times New Roman"/>
                <w:kern w:val="0"/>
                <w:lang w:eastAsia="ru-RU" w:bidi="ar-SA"/>
              </w:rPr>
              <w:t>Наименование и описание модификации Товара</w:t>
            </w:r>
            <w:r w:rsidRPr="007B62FC">
              <w:rPr>
                <w:rFonts w:ascii="Calibri" w:eastAsia="Calibri" w:hAnsi="Calibri" w:cs="Times New Roman"/>
                <w:kern w:val="0"/>
                <w:vertAlign w:val="superscript"/>
                <w:lang w:eastAsia="en-US" w:bidi="ar-SA"/>
              </w:rPr>
              <w:footnoteReference w:id="2"/>
            </w:r>
          </w:p>
        </w:tc>
        <w:tc>
          <w:tcPr>
            <w:tcW w:w="992" w:type="dxa"/>
            <w:tcBorders>
              <w:top w:val="single" w:sz="4" w:space="0" w:color="auto"/>
              <w:left w:val="single" w:sz="4" w:space="0" w:color="auto"/>
              <w:bottom w:val="single" w:sz="4" w:space="0" w:color="auto"/>
              <w:right w:val="single" w:sz="4" w:space="0" w:color="auto"/>
            </w:tcBorders>
            <w:vAlign w:val="center"/>
            <w:hideMark/>
          </w:tcPr>
          <w:p w:rsidR="00351D08" w:rsidRPr="007B62FC" w:rsidRDefault="00351D08" w:rsidP="007D193C">
            <w:pPr>
              <w:widowControl/>
              <w:suppressAutoHyphens w:val="0"/>
              <w:autoSpaceDN/>
              <w:jc w:val="center"/>
              <w:textAlignment w:val="auto"/>
              <w:rPr>
                <w:rFonts w:eastAsia="Times New Roman" w:cs="Times New Roman"/>
                <w:kern w:val="0"/>
                <w:lang w:eastAsia="ru-RU" w:bidi="ar-SA"/>
              </w:rPr>
            </w:pPr>
            <w:r w:rsidRPr="007B62FC">
              <w:rPr>
                <w:rFonts w:eastAsia="Times New Roman" w:cs="Times New Roman"/>
                <w:kern w:val="0"/>
                <w:lang w:eastAsia="ru-RU" w:bidi="ar-SA"/>
              </w:rPr>
              <w:t>Кол</w:t>
            </w:r>
            <w:r>
              <w:rPr>
                <w:rFonts w:eastAsia="Times New Roman" w:cs="Times New Roman"/>
                <w:kern w:val="0"/>
                <w:lang w:eastAsia="ru-RU" w:bidi="ar-SA"/>
              </w:rPr>
              <w:t>-</w:t>
            </w:r>
            <w:r w:rsidRPr="007B62FC">
              <w:rPr>
                <w:rFonts w:eastAsia="Times New Roman" w:cs="Times New Roman"/>
                <w:kern w:val="0"/>
                <w:lang w:eastAsia="ru-RU" w:bidi="ar-SA"/>
              </w:rPr>
              <w:t>во, шт.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1D08" w:rsidRPr="007B62FC" w:rsidRDefault="00351D08" w:rsidP="007B62FC">
            <w:pPr>
              <w:widowControl/>
              <w:suppressAutoHyphens w:val="0"/>
              <w:autoSpaceDN/>
              <w:jc w:val="center"/>
              <w:textAlignment w:val="auto"/>
              <w:rPr>
                <w:rFonts w:eastAsia="Times New Roman" w:cs="Times New Roman"/>
                <w:kern w:val="0"/>
                <w:lang w:eastAsia="ru-RU" w:bidi="ar-SA"/>
              </w:rPr>
            </w:pPr>
            <w:r w:rsidRPr="007B62FC">
              <w:rPr>
                <w:rFonts w:eastAsia="Times New Roman" w:cs="Times New Roman"/>
                <w:bCs/>
                <w:kern w:val="0"/>
                <w:lang w:eastAsia="ru-RU" w:bidi="ar-SA"/>
              </w:rPr>
              <w:t>Цена за единицу, руб.</w:t>
            </w:r>
          </w:p>
        </w:tc>
      </w:tr>
      <w:tr w:rsidR="00351D08" w:rsidRPr="00F759CF" w:rsidTr="00F759CF">
        <w:trPr>
          <w:trHeight w:val="428"/>
          <w:jc w:val="center"/>
        </w:trPr>
        <w:tc>
          <w:tcPr>
            <w:tcW w:w="1696" w:type="dxa"/>
            <w:tcBorders>
              <w:top w:val="single" w:sz="4" w:space="0" w:color="auto"/>
              <w:left w:val="single" w:sz="4" w:space="0" w:color="auto"/>
              <w:bottom w:val="single" w:sz="4" w:space="0" w:color="auto"/>
              <w:right w:val="single" w:sz="4" w:space="0" w:color="auto"/>
            </w:tcBorders>
            <w:noWrap/>
          </w:tcPr>
          <w:p w:rsidR="00351D08" w:rsidRPr="00F759CF" w:rsidRDefault="00351D08" w:rsidP="007D193C">
            <w:pPr>
              <w:pStyle w:val="af0"/>
              <w:snapToGrid w:val="0"/>
              <w:jc w:val="center"/>
            </w:pPr>
            <w:r w:rsidRPr="00F759CF">
              <w:t>Сигнализатор звука цифровой со световой индикацией</w:t>
            </w:r>
          </w:p>
          <w:p w:rsidR="00351D08" w:rsidRPr="00F759CF" w:rsidRDefault="00351D08" w:rsidP="007D193C">
            <w:pPr>
              <w:widowControl/>
              <w:suppressAutoHyphens w:val="0"/>
              <w:autoSpaceDN/>
              <w:jc w:val="center"/>
              <w:textAlignment w:val="auto"/>
              <w:rPr>
                <w:rFonts w:eastAsia="Times New Roman" w:cs="Times New Roman"/>
                <w:kern w:val="0"/>
                <w:lang w:eastAsia="ru-RU" w:bidi="ar-SA"/>
              </w:rPr>
            </w:pPr>
          </w:p>
        </w:tc>
        <w:tc>
          <w:tcPr>
            <w:tcW w:w="5954" w:type="dxa"/>
            <w:tcBorders>
              <w:top w:val="single" w:sz="4" w:space="0" w:color="auto"/>
              <w:left w:val="single" w:sz="4" w:space="0" w:color="auto"/>
              <w:bottom w:val="single" w:sz="4" w:space="0" w:color="auto"/>
              <w:right w:val="single" w:sz="4" w:space="0" w:color="auto"/>
            </w:tcBorders>
          </w:tcPr>
          <w:p w:rsidR="00351D08" w:rsidRPr="00F759CF" w:rsidRDefault="00351D08" w:rsidP="004D2A3E">
            <w:pPr>
              <w:snapToGrid w:val="0"/>
              <w:jc w:val="both"/>
            </w:pPr>
            <w:r w:rsidRPr="00F759CF">
              <w:t>Сигнализатор звука цифровой со световой индикацией для плохослышащих и глухих предназначен для информирования людей с нарушением слуха о наличии звуковых сигналов домофона, дверного звонка и телефонного звонка.</w:t>
            </w:r>
          </w:p>
          <w:p w:rsidR="00351D08" w:rsidRPr="00F759CF" w:rsidRDefault="00351D08" w:rsidP="004D2A3E">
            <w:pPr>
              <w:snapToGrid w:val="0"/>
              <w:jc w:val="both"/>
            </w:pPr>
            <w:r w:rsidRPr="00F759CF">
              <w:t>Сигнализирующие устройство беспроводное по конструкции.</w:t>
            </w:r>
          </w:p>
          <w:p w:rsidR="00351D08" w:rsidRPr="00F759CF" w:rsidRDefault="00351D08" w:rsidP="004D2A3E">
            <w:pPr>
              <w:snapToGrid w:val="0"/>
              <w:jc w:val="both"/>
            </w:pPr>
            <w:r w:rsidRPr="00F759CF">
              <w:t xml:space="preserve">Цифровой световой индикатор привлекает внимание пользователя с помощью: </w:t>
            </w:r>
          </w:p>
          <w:p w:rsidR="00351D08" w:rsidRPr="00F759CF" w:rsidRDefault="00351D08" w:rsidP="004D2A3E">
            <w:pPr>
              <w:snapToGrid w:val="0"/>
              <w:jc w:val="both"/>
            </w:pPr>
            <w:r w:rsidRPr="00F759CF">
              <w:t>- светодиодной индикации светового приемника;</w:t>
            </w:r>
          </w:p>
          <w:p w:rsidR="00351D08" w:rsidRPr="00F759CF" w:rsidRDefault="00351D08" w:rsidP="004D2A3E">
            <w:pPr>
              <w:snapToGrid w:val="0"/>
              <w:jc w:val="both"/>
            </w:pPr>
            <w:r w:rsidRPr="00F759CF">
              <w:t>- световой (стробоскопической) индикации светового приемника;</w:t>
            </w:r>
          </w:p>
          <w:p w:rsidR="00351D08" w:rsidRPr="00F759CF" w:rsidRDefault="00351D08" w:rsidP="004D2A3E">
            <w:pPr>
              <w:snapToGrid w:val="0"/>
              <w:jc w:val="both"/>
            </w:pPr>
            <w:r w:rsidRPr="00F759CF">
              <w:t>- индикации рабочего состояния светового приемника;</w:t>
            </w:r>
          </w:p>
          <w:p w:rsidR="00351D08" w:rsidRPr="00F759CF" w:rsidRDefault="00351D08" w:rsidP="004D2A3E">
            <w:pPr>
              <w:snapToGrid w:val="0"/>
              <w:jc w:val="both"/>
            </w:pPr>
            <w:r w:rsidRPr="00F759CF">
              <w:t>- светодиодной индикацией на корпусе передатчиков сигнала телефона/домофона, дверного звонка о поступающих на передатчики сигналах.</w:t>
            </w:r>
          </w:p>
          <w:p w:rsidR="00351D08" w:rsidRPr="00F759CF" w:rsidRDefault="00351D08" w:rsidP="004D2A3E">
            <w:pPr>
              <w:snapToGrid w:val="0"/>
              <w:jc w:val="both"/>
            </w:pPr>
            <w:r w:rsidRPr="00F759CF">
              <w:t xml:space="preserve">Цифровой приемник со световой (стробоскопической) и светодиодной индикацией служит для приема сигналов домофона, дверного звонка и телефонного звонка. Для каждого бытового сигнала имеются специальные иконки с пиктограммой. </w:t>
            </w:r>
          </w:p>
          <w:p w:rsidR="00351D08" w:rsidRPr="00F759CF" w:rsidRDefault="00351D08" w:rsidP="004D2A3E">
            <w:pPr>
              <w:snapToGrid w:val="0"/>
              <w:jc w:val="both"/>
            </w:pPr>
            <w:r w:rsidRPr="00F759CF">
              <w:t>При входящем сигнале световой приемник оповещает инвалида:</w:t>
            </w:r>
          </w:p>
          <w:p w:rsidR="00351D08" w:rsidRPr="00F759CF" w:rsidRDefault="00351D08" w:rsidP="004D2A3E">
            <w:pPr>
              <w:snapToGrid w:val="0"/>
              <w:jc w:val="both"/>
            </w:pPr>
            <w:r w:rsidRPr="00F759CF">
              <w:t>- светодиодной индикацией с индивидуальными пиктограммами для каждого вида сигнала различимыми в дневное время суток. Каждому типу сигнала соответствует индивидуальный цвет светодиодов;</w:t>
            </w:r>
          </w:p>
          <w:p w:rsidR="00351D08" w:rsidRPr="00F759CF" w:rsidRDefault="00351D08" w:rsidP="004D2A3E">
            <w:pPr>
              <w:snapToGrid w:val="0"/>
              <w:jc w:val="both"/>
            </w:pPr>
            <w:r w:rsidRPr="00F759CF">
              <w:t xml:space="preserve">- световой индикацией яркими вспышками стробоскопа встроенного в корпус приемника различимыми в дневное время суток. </w:t>
            </w:r>
          </w:p>
          <w:p w:rsidR="00351D08" w:rsidRPr="00F759CF" w:rsidRDefault="00351D08" w:rsidP="004D2A3E">
            <w:pPr>
              <w:snapToGrid w:val="0"/>
              <w:jc w:val="both"/>
            </w:pPr>
            <w:r w:rsidRPr="00F759CF">
              <w:t>Питание светового приемника осуществляется от сети переменного тока 220 В, 50 Гц и от элементов питания.</w:t>
            </w:r>
          </w:p>
          <w:p w:rsidR="00351D08" w:rsidRPr="00F759CF" w:rsidRDefault="00351D08" w:rsidP="004D2A3E">
            <w:pPr>
              <w:snapToGrid w:val="0"/>
              <w:jc w:val="both"/>
            </w:pPr>
            <w:r w:rsidRPr="00F759CF">
              <w:t xml:space="preserve">Цифровые передатчики служат для передачи информации о входном сигнале дверного звонка, домофона, телефона на световой приемник. В передатчиках установлены электрические датчики, что исключает возможность ложного срабатывания. Передатчик телефона/домофона подключается проводным способом к источнику сигнала с помощью модульных разъемов и клемм. Все передатчики оснащены световым индикатором для дополнительного </w:t>
            </w:r>
            <w:r w:rsidRPr="00F759CF">
              <w:lastRenderedPageBreak/>
              <w:t xml:space="preserve">оповещения инвалида о поступающем сигнале, а также кнопками для тестирования работоспособности системы. Кнопки передатчиков защищены интеллектуальной электронной системой от ложного срабатывания при случайном нажатии. </w:t>
            </w:r>
          </w:p>
          <w:p w:rsidR="00351D08" w:rsidRPr="00F759CF" w:rsidRDefault="00351D08" w:rsidP="004D2A3E">
            <w:pPr>
              <w:snapToGrid w:val="0"/>
              <w:jc w:val="both"/>
            </w:pPr>
            <w:r w:rsidRPr="00F759CF">
              <w:t>В комплектацию сигнализатора входит:</w:t>
            </w:r>
          </w:p>
          <w:p w:rsidR="00351D08" w:rsidRPr="00F759CF" w:rsidRDefault="00351D08" w:rsidP="004D2A3E">
            <w:pPr>
              <w:snapToGrid w:val="0"/>
              <w:jc w:val="both"/>
            </w:pPr>
            <w:r w:rsidRPr="00F759CF">
              <w:t>- световой приемник;</w:t>
            </w:r>
          </w:p>
          <w:p w:rsidR="00351D08" w:rsidRPr="00F759CF" w:rsidRDefault="00351D08" w:rsidP="004D2A3E">
            <w:pPr>
              <w:snapToGrid w:val="0"/>
              <w:jc w:val="both"/>
            </w:pPr>
            <w:r w:rsidRPr="00F759CF">
              <w:t>- передатчик звонка домофона/телефона;</w:t>
            </w:r>
          </w:p>
          <w:p w:rsidR="00351D08" w:rsidRPr="00F759CF" w:rsidRDefault="00351D08" w:rsidP="004D2A3E">
            <w:pPr>
              <w:snapToGrid w:val="0"/>
              <w:jc w:val="both"/>
            </w:pPr>
            <w:r w:rsidRPr="00F759CF">
              <w:t>- передатчик дверного звонка;</w:t>
            </w:r>
          </w:p>
          <w:p w:rsidR="00351D08" w:rsidRPr="00F759CF" w:rsidRDefault="00351D08" w:rsidP="004D2A3E">
            <w:pPr>
              <w:snapToGrid w:val="0"/>
              <w:jc w:val="both"/>
            </w:pPr>
            <w:r w:rsidRPr="00F759CF">
              <w:t>- переходник для подключения к телефонной линии;</w:t>
            </w:r>
          </w:p>
          <w:p w:rsidR="00351D08" w:rsidRPr="00F759CF" w:rsidRDefault="00351D08" w:rsidP="004D2A3E">
            <w:pPr>
              <w:snapToGrid w:val="0"/>
              <w:jc w:val="both"/>
            </w:pPr>
            <w:r w:rsidRPr="00F759CF">
              <w:t>- клеммы для подключения к линии домофона;</w:t>
            </w:r>
          </w:p>
          <w:p w:rsidR="00351D08" w:rsidRPr="00F759CF" w:rsidRDefault="00351D08" w:rsidP="004D2A3E">
            <w:pPr>
              <w:snapToGrid w:val="0"/>
              <w:jc w:val="both"/>
            </w:pPr>
            <w:r w:rsidRPr="00F759CF">
              <w:t>- элементы питания, в количестве, необходимом для работы сигнализатора;</w:t>
            </w:r>
          </w:p>
          <w:p w:rsidR="00351D08" w:rsidRPr="00F759CF" w:rsidRDefault="00351D08" w:rsidP="004D2A3E">
            <w:pPr>
              <w:snapToGrid w:val="0"/>
              <w:jc w:val="both"/>
            </w:pPr>
            <w:r w:rsidRPr="00F759CF">
              <w:t>Конструкция сигнализатора обеспечивает пользователю удобство и простоту обращения, самостоятельную установку при подготовке и во время эксплуатации.</w:t>
            </w:r>
          </w:p>
          <w:p w:rsidR="00351D08" w:rsidRPr="00F759CF" w:rsidRDefault="00351D08" w:rsidP="004D2A3E">
            <w:pPr>
              <w:snapToGrid w:val="0"/>
              <w:jc w:val="both"/>
            </w:pPr>
            <w:r w:rsidRPr="00F759CF">
              <w:t>Радиус устойчивого приема сигнала:</w:t>
            </w:r>
          </w:p>
          <w:p w:rsidR="00351D08" w:rsidRPr="00F759CF" w:rsidRDefault="00351D08" w:rsidP="004D2A3E">
            <w:pPr>
              <w:snapToGrid w:val="0"/>
              <w:jc w:val="both"/>
            </w:pPr>
            <w:r w:rsidRPr="00F759CF">
              <w:t>- в условиях прямой видимости – 30 м.</w:t>
            </w:r>
          </w:p>
          <w:p w:rsidR="00351D08" w:rsidRPr="00F759CF" w:rsidRDefault="00351D08" w:rsidP="004D2A3E">
            <w:pPr>
              <w:snapToGrid w:val="0"/>
              <w:jc w:val="both"/>
            </w:pPr>
            <w:r w:rsidRPr="00F759CF">
              <w:t>Количество адресов сигнализирующего устройства для гарантии отсутствия ложного срабатывания – 65535.</w:t>
            </w:r>
          </w:p>
          <w:p w:rsidR="00351D08" w:rsidRPr="00F759CF" w:rsidRDefault="00351D08" w:rsidP="004D2A3E">
            <w:pPr>
              <w:pStyle w:val="ConsPlusNonformat"/>
              <w:jc w:val="center"/>
              <w:rPr>
                <w:rFonts w:cs="Times New Roman"/>
                <w:sz w:val="24"/>
                <w:szCs w:val="24"/>
              </w:rPr>
            </w:pPr>
            <w:r w:rsidRPr="00F759CF">
              <w:rPr>
                <w:rFonts w:ascii="Times New Roman" w:hAnsi="Times New Roman" w:cs="Times New Roman"/>
                <w:sz w:val="24"/>
                <w:szCs w:val="24"/>
              </w:rPr>
              <w:t>Несущая частота передатчика – частота, разрешения для использования на территории Российской Федерации.</w:t>
            </w:r>
          </w:p>
        </w:tc>
        <w:tc>
          <w:tcPr>
            <w:tcW w:w="992" w:type="dxa"/>
            <w:tcBorders>
              <w:top w:val="single" w:sz="4" w:space="0" w:color="auto"/>
              <w:left w:val="single" w:sz="4" w:space="0" w:color="auto"/>
              <w:bottom w:val="single" w:sz="4" w:space="0" w:color="auto"/>
              <w:right w:val="single" w:sz="4" w:space="0" w:color="auto"/>
            </w:tcBorders>
            <w:noWrap/>
            <w:hideMark/>
          </w:tcPr>
          <w:p w:rsidR="00351D08" w:rsidRPr="00F759CF" w:rsidRDefault="00351D08" w:rsidP="007B62FC">
            <w:pPr>
              <w:widowControl/>
              <w:suppressAutoHyphens w:val="0"/>
              <w:autoSpaceDN/>
              <w:jc w:val="center"/>
              <w:textAlignment w:val="auto"/>
              <w:rPr>
                <w:rFonts w:eastAsia="Times New Roman" w:cs="Times New Roman"/>
                <w:kern w:val="0"/>
                <w:lang w:eastAsia="ru-RU" w:bidi="ar-SA"/>
              </w:rPr>
            </w:pPr>
            <w:r w:rsidRPr="00F759CF">
              <w:rPr>
                <w:rFonts w:eastAsia="Times New Roman" w:cs="Times New Roman"/>
                <w:kern w:val="0"/>
                <w:lang w:eastAsia="ru-RU" w:bidi="ar-SA"/>
              </w:rPr>
              <w:lastRenderedPageBreak/>
              <w:t>шт</w:t>
            </w:r>
          </w:p>
        </w:tc>
        <w:tc>
          <w:tcPr>
            <w:tcW w:w="1276" w:type="dxa"/>
            <w:tcBorders>
              <w:top w:val="single" w:sz="4" w:space="0" w:color="auto"/>
              <w:left w:val="single" w:sz="4" w:space="0" w:color="auto"/>
              <w:bottom w:val="single" w:sz="4" w:space="0" w:color="auto"/>
              <w:right w:val="single" w:sz="4" w:space="0" w:color="auto"/>
            </w:tcBorders>
            <w:noWrap/>
            <w:hideMark/>
          </w:tcPr>
          <w:p w:rsidR="00351D08" w:rsidRPr="00F759CF" w:rsidRDefault="00864430" w:rsidP="004D2A3E">
            <w:pPr>
              <w:widowControl/>
              <w:suppressAutoHyphens w:val="0"/>
              <w:autoSpaceDN/>
              <w:jc w:val="center"/>
              <w:textAlignment w:val="auto"/>
              <w:rPr>
                <w:rFonts w:eastAsia="Times New Roman" w:cs="Times New Roman"/>
                <w:kern w:val="0"/>
                <w:lang w:eastAsia="ru-RU" w:bidi="ar-SA"/>
              </w:rPr>
            </w:pPr>
            <w:r>
              <w:rPr>
                <w:rFonts w:eastAsia="Times New Roman" w:cs="Times New Roman"/>
                <w:kern w:val="0"/>
                <w:lang w:eastAsia="ru-RU" w:bidi="ar-SA"/>
              </w:rPr>
              <w:t>63</w:t>
            </w:r>
            <w:r w:rsidR="00351D08" w:rsidRPr="00F759CF">
              <w:rPr>
                <w:rFonts w:eastAsia="Times New Roman" w:cs="Times New Roman"/>
                <w:kern w:val="0"/>
                <w:lang w:eastAsia="ru-RU" w:bidi="ar-SA"/>
              </w:rPr>
              <w:t>27,24</w:t>
            </w:r>
          </w:p>
        </w:tc>
      </w:tr>
      <w:tr w:rsidR="00351D08" w:rsidRPr="00F759CF" w:rsidTr="00F759CF">
        <w:trPr>
          <w:trHeight w:val="428"/>
          <w:jc w:val="center"/>
        </w:trPr>
        <w:tc>
          <w:tcPr>
            <w:tcW w:w="1696" w:type="dxa"/>
            <w:tcBorders>
              <w:top w:val="single" w:sz="4" w:space="0" w:color="auto"/>
              <w:left w:val="single" w:sz="4" w:space="0" w:color="auto"/>
              <w:bottom w:val="single" w:sz="4" w:space="0" w:color="auto"/>
              <w:right w:val="single" w:sz="4" w:space="0" w:color="auto"/>
            </w:tcBorders>
            <w:noWrap/>
          </w:tcPr>
          <w:p w:rsidR="00351D08" w:rsidRPr="00F759CF" w:rsidRDefault="00351D08" w:rsidP="007D193C">
            <w:pPr>
              <w:pStyle w:val="af0"/>
              <w:snapToGrid w:val="0"/>
            </w:pPr>
            <w:r w:rsidRPr="00F759CF">
              <w:lastRenderedPageBreak/>
              <w:t>Сигнализатор звука цифровой с вибрационной индикацией</w:t>
            </w:r>
          </w:p>
          <w:p w:rsidR="00351D08" w:rsidRPr="00F759CF" w:rsidRDefault="00351D08" w:rsidP="007D193C">
            <w:pPr>
              <w:pStyle w:val="af0"/>
              <w:snapToGrid w:val="0"/>
            </w:pPr>
          </w:p>
        </w:tc>
        <w:tc>
          <w:tcPr>
            <w:tcW w:w="5954" w:type="dxa"/>
            <w:tcBorders>
              <w:top w:val="single" w:sz="4" w:space="0" w:color="auto"/>
              <w:left w:val="single" w:sz="4" w:space="0" w:color="auto"/>
              <w:bottom w:val="single" w:sz="4" w:space="0" w:color="auto"/>
              <w:right w:val="single" w:sz="4" w:space="0" w:color="auto"/>
            </w:tcBorders>
          </w:tcPr>
          <w:p w:rsidR="00351D08" w:rsidRPr="00F759CF" w:rsidRDefault="00351D08" w:rsidP="007D193C">
            <w:pPr>
              <w:snapToGrid w:val="0"/>
              <w:jc w:val="both"/>
            </w:pPr>
            <w:r w:rsidRPr="00F759CF">
              <w:t>Сигнализатор звука цифровой с вибрационной индикацией для плохослышащих и глухих предназначен для информирования людей с нарушением слуха о наличии звуковых сигналов домофона, дверного звонка и телефонного звонка.</w:t>
            </w:r>
          </w:p>
          <w:p w:rsidR="00351D08" w:rsidRPr="00F759CF" w:rsidRDefault="00351D08" w:rsidP="007D193C">
            <w:pPr>
              <w:snapToGrid w:val="0"/>
              <w:jc w:val="both"/>
            </w:pPr>
            <w:r w:rsidRPr="00F759CF">
              <w:t>Сигнализирующие устройство беспроводное по конструкции.</w:t>
            </w:r>
          </w:p>
          <w:p w:rsidR="00351D08" w:rsidRPr="00F759CF" w:rsidRDefault="00351D08" w:rsidP="007D193C">
            <w:pPr>
              <w:snapToGrid w:val="0"/>
              <w:jc w:val="both"/>
            </w:pPr>
            <w:r w:rsidRPr="00F759CF">
              <w:t xml:space="preserve">Цифровой вибрационно-световой индикатор привлекает внимание пользователя с помощью: </w:t>
            </w:r>
          </w:p>
          <w:p w:rsidR="00351D08" w:rsidRPr="00F759CF" w:rsidRDefault="00351D08" w:rsidP="007D193C">
            <w:pPr>
              <w:snapToGrid w:val="0"/>
              <w:jc w:val="both"/>
            </w:pPr>
            <w:r w:rsidRPr="00F759CF">
              <w:t xml:space="preserve">-вибрации корпуса беспроводного вибрационного приемника; </w:t>
            </w:r>
          </w:p>
          <w:p w:rsidR="00351D08" w:rsidRPr="00F759CF" w:rsidRDefault="00351D08" w:rsidP="007D193C">
            <w:pPr>
              <w:snapToGrid w:val="0"/>
              <w:jc w:val="both"/>
            </w:pPr>
            <w:r w:rsidRPr="00F759CF">
              <w:t>-светодиодной индикацией на корпусе передатчиков сигнала телефона/домофона, дверного звонка о поступающих на передатчики сигналах.</w:t>
            </w:r>
          </w:p>
          <w:p w:rsidR="00351D08" w:rsidRPr="00F759CF" w:rsidRDefault="00351D08" w:rsidP="007D193C">
            <w:pPr>
              <w:snapToGrid w:val="0"/>
              <w:jc w:val="both"/>
            </w:pPr>
            <w:r w:rsidRPr="00F759CF">
              <w:t>Вибрационный приемник служит для приема сигналов домофона, дверного звонка и телефонного звонка. Вибрационный приемник является беспроводным. Вибрационный приемник оповещает пользователя посредством сильной вибрации корпуса. Имеет функцию переключения режимов работы. Питание приемника осуществляется от элементов питания для исключения возможности поражения пользователя электрическим током.</w:t>
            </w:r>
          </w:p>
          <w:p w:rsidR="00351D08" w:rsidRPr="00F759CF" w:rsidRDefault="00351D08" w:rsidP="007D193C">
            <w:pPr>
              <w:snapToGrid w:val="0"/>
              <w:jc w:val="both"/>
            </w:pPr>
            <w:r w:rsidRPr="00F759CF">
              <w:t xml:space="preserve">Цифровые передатчики служат для передачи информации о входном сигнале дверного звонка, домофона, телефона на вибрационный приемник. В передатчиках установлены электрические датчики, что исключает возможность ложного срабатывания. </w:t>
            </w:r>
            <w:r w:rsidRPr="00F759CF">
              <w:lastRenderedPageBreak/>
              <w:t xml:space="preserve">Передатчик звонка домофона/телефона подключается проводным способом к источнику сигнала с помощью модульных разъемов и клемм. Передатчик дверного звонка имеет вид беспроводного дверного звонка. Все передатчики оснащены световым индикатором для дополнительного оповещения инвалида о поступающем сигнале, а также кнопками для тестирования работоспособности системы. Кнопки передатчиков защищены интеллектуальной электронной системой от ложного срабатывания при случайном нажатии. </w:t>
            </w:r>
          </w:p>
          <w:p w:rsidR="00351D08" w:rsidRPr="00F759CF" w:rsidRDefault="00351D08" w:rsidP="007D193C">
            <w:pPr>
              <w:jc w:val="both"/>
            </w:pPr>
            <w:r w:rsidRPr="00F759CF">
              <w:t>В комплектацию сигнализатора входит:</w:t>
            </w:r>
          </w:p>
          <w:p w:rsidR="00351D08" w:rsidRPr="00F759CF" w:rsidRDefault="00351D08" w:rsidP="007D193C">
            <w:pPr>
              <w:jc w:val="both"/>
            </w:pPr>
            <w:r w:rsidRPr="00F759CF">
              <w:t>- вибрационный приемник;</w:t>
            </w:r>
          </w:p>
          <w:p w:rsidR="00351D08" w:rsidRPr="00F759CF" w:rsidRDefault="00351D08" w:rsidP="007D193C">
            <w:pPr>
              <w:jc w:val="both"/>
            </w:pPr>
            <w:r w:rsidRPr="00F759CF">
              <w:t>- передатчик звонка домофона/телефона;</w:t>
            </w:r>
          </w:p>
          <w:p w:rsidR="00351D08" w:rsidRPr="00F759CF" w:rsidRDefault="00351D08" w:rsidP="007D193C">
            <w:pPr>
              <w:jc w:val="both"/>
            </w:pPr>
            <w:r w:rsidRPr="00F759CF">
              <w:t>- передатчик дверного звонка;</w:t>
            </w:r>
          </w:p>
          <w:p w:rsidR="00351D08" w:rsidRPr="00F759CF" w:rsidRDefault="00351D08" w:rsidP="007D193C">
            <w:pPr>
              <w:jc w:val="both"/>
            </w:pPr>
            <w:r w:rsidRPr="00F759CF">
              <w:t>- переходник для подключения к телефонной линии;</w:t>
            </w:r>
          </w:p>
          <w:p w:rsidR="00351D08" w:rsidRPr="00F759CF" w:rsidRDefault="00351D08" w:rsidP="007D193C">
            <w:pPr>
              <w:jc w:val="both"/>
            </w:pPr>
            <w:r w:rsidRPr="00F759CF">
              <w:t>- клеммы для подключения к линии домофона;</w:t>
            </w:r>
          </w:p>
          <w:p w:rsidR="00351D08" w:rsidRPr="00F759CF" w:rsidRDefault="00351D08" w:rsidP="007D193C">
            <w:pPr>
              <w:jc w:val="both"/>
            </w:pPr>
            <w:r w:rsidRPr="00F759CF">
              <w:t>- элементы питания, в количестве, необходимом для работы сигнализатора;</w:t>
            </w:r>
          </w:p>
          <w:p w:rsidR="00351D08" w:rsidRPr="00F759CF" w:rsidRDefault="00351D08" w:rsidP="007D193C">
            <w:pPr>
              <w:jc w:val="both"/>
            </w:pPr>
            <w:r w:rsidRPr="00F759CF">
              <w:t>Конструкция сигнализатора обеспечивает пользователю удобство и простоту обращения, самостоятельную установку при подготовке и во время эксплуатации.</w:t>
            </w:r>
          </w:p>
          <w:p w:rsidR="00351D08" w:rsidRPr="00F759CF" w:rsidRDefault="00351D08" w:rsidP="007D193C">
            <w:pPr>
              <w:jc w:val="both"/>
            </w:pPr>
            <w:r w:rsidRPr="00F759CF">
              <w:t>Радиус устойчивого приема сигнала:</w:t>
            </w:r>
          </w:p>
          <w:p w:rsidR="00351D08" w:rsidRPr="00F759CF" w:rsidRDefault="00351D08" w:rsidP="007D193C">
            <w:pPr>
              <w:jc w:val="both"/>
            </w:pPr>
            <w:r w:rsidRPr="00F759CF">
              <w:t>- в условиях прямой видимости – 30 м.</w:t>
            </w:r>
          </w:p>
          <w:p w:rsidR="00351D08" w:rsidRPr="00F759CF" w:rsidRDefault="00351D08" w:rsidP="007D193C">
            <w:pPr>
              <w:jc w:val="both"/>
            </w:pPr>
            <w:r w:rsidRPr="00F759CF">
              <w:t>Количество адресов сигнализирующего устройства для гарантии отсутствия ложного срабатывания – 65535.</w:t>
            </w:r>
          </w:p>
          <w:p w:rsidR="00351D08" w:rsidRPr="00F759CF" w:rsidRDefault="00351D08" w:rsidP="007D193C">
            <w:pPr>
              <w:jc w:val="both"/>
              <w:rPr>
                <w:rStyle w:val="FontStyle15"/>
                <w:b w:val="0"/>
                <w:bCs w:val="0"/>
                <w:sz w:val="24"/>
                <w:szCs w:val="24"/>
              </w:rPr>
            </w:pPr>
            <w:r w:rsidRPr="00F759CF">
              <w:t>Несущая частота передатчика – частота, разрешения для использования на территории Российской Федерации.</w:t>
            </w:r>
          </w:p>
        </w:tc>
        <w:tc>
          <w:tcPr>
            <w:tcW w:w="992" w:type="dxa"/>
            <w:tcBorders>
              <w:top w:val="single" w:sz="4" w:space="0" w:color="auto"/>
              <w:left w:val="single" w:sz="4" w:space="0" w:color="auto"/>
              <w:bottom w:val="single" w:sz="4" w:space="0" w:color="auto"/>
              <w:right w:val="single" w:sz="4" w:space="0" w:color="auto"/>
            </w:tcBorders>
            <w:noWrap/>
          </w:tcPr>
          <w:p w:rsidR="00351D08" w:rsidRPr="00F759CF" w:rsidRDefault="00351D08" w:rsidP="007D193C">
            <w:pPr>
              <w:widowControl/>
              <w:suppressAutoHyphens w:val="0"/>
              <w:autoSpaceDN/>
              <w:jc w:val="center"/>
              <w:textAlignment w:val="auto"/>
              <w:rPr>
                <w:rFonts w:eastAsia="Times New Roman" w:cs="Times New Roman"/>
                <w:kern w:val="0"/>
                <w:lang w:eastAsia="ru-RU" w:bidi="ar-SA"/>
              </w:rPr>
            </w:pPr>
            <w:r w:rsidRPr="00F759CF">
              <w:rPr>
                <w:rFonts w:eastAsia="Times New Roman" w:cs="Times New Roman"/>
                <w:kern w:val="0"/>
                <w:lang w:eastAsia="ru-RU" w:bidi="ar-SA"/>
              </w:rPr>
              <w:lastRenderedPageBreak/>
              <w:t>шт</w:t>
            </w:r>
          </w:p>
        </w:tc>
        <w:tc>
          <w:tcPr>
            <w:tcW w:w="1276" w:type="dxa"/>
            <w:tcBorders>
              <w:top w:val="single" w:sz="4" w:space="0" w:color="auto"/>
              <w:left w:val="single" w:sz="4" w:space="0" w:color="auto"/>
              <w:bottom w:val="single" w:sz="4" w:space="0" w:color="auto"/>
              <w:right w:val="single" w:sz="4" w:space="0" w:color="auto"/>
            </w:tcBorders>
            <w:noWrap/>
          </w:tcPr>
          <w:p w:rsidR="00351D08" w:rsidRPr="00F759CF" w:rsidRDefault="00351D08" w:rsidP="007D193C">
            <w:pPr>
              <w:widowControl/>
              <w:suppressAutoHyphens w:val="0"/>
              <w:autoSpaceDN/>
              <w:jc w:val="center"/>
              <w:textAlignment w:val="auto"/>
              <w:rPr>
                <w:rFonts w:eastAsia="Times New Roman" w:cs="Times New Roman"/>
                <w:kern w:val="0"/>
                <w:lang w:eastAsia="ru-RU" w:bidi="ar-SA"/>
              </w:rPr>
            </w:pPr>
            <w:r w:rsidRPr="00F759CF">
              <w:rPr>
                <w:rFonts w:eastAsia="Times New Roman" w:cs="Times New Roman"/>
                <w:kern w:val="0"/>
                <w:lang w:eastAsia="ru-RU" w:bidi="ar-SA"/>
              </w:rPr>
              <w:t>3783,24</w:t>
            </w:r>
          </w:p>
        </w:tc>
      </w:tr>
      <w:tr w:rsidR="00351D08" w:rsidRPr="00F759CF" w:rsidTr="00F759CF">
        <w:trPr>
          <w:trHeight w:val="428"/>
          <w:jc w:val="center"/>
        </w:trPr>
        <w:tc>
          <w:tcPr>
            <w:tcW w:w="1696" w:type="dxa"/>
            <w:tcBorders>
              <w:top w:val="single" w:sz="4" w:space="0" w:color="auto"/>
              <w:left w:val="single" w:sz="4" w:space="0" w:color="auto"/>
              <w:bottom w:val="single" w:sz="4" w:space="0" w:color="auto"/>
              <w:right w:val="single" w:sz="4" w:space="0" w:color="auto"/>
            </w:tcBorders>
            <w:noWrap/>
          </w:tcPr>
          <w:p w:rsidR="00351D08" w:rsidRPr="00F759CF" w:rsidRDefault="00351D08" w:rsidP="007D193C">
            <w:pPr>
              <w:pStyle w:val="af0"/>
              <w:snapToGrid w:val="0"/>
            </w:pPr>
            <w:r w:rsidRPr="00F759CF">
              <w:lastRenderedPageBreak/>
              <w:t>Сигнализатор звука цифровой с вибрационной и световой индикацией</w:t>
            </w:r>
          </w:p>
          <w:p w:rsidR="00351D08" w:rsidRPr="00F759CF" w:rsidRDefault="00351D08" w:rsidP="007D193C">
            <w:pPr>
              <w:pStyle w:val="af0"/>
              <w:snapToGrid w:val="0"/>
            </w:pPr>
          </w:p>
        </w:tc>
        <w:tc>
          <w:tcPr>
            <w:tcW w:w="5954" w:type="dxa"/>
            <w:tcBorders>
              <w:top w:val="single" w:sz="4" w:space="0" w:color="auto"/>
              <w:left w:val="single" w:sz="4" w:space="0" w:color="auto"/>
              <w:bottom w:val="single" w:sz="4" w:space="0" w:color="auto"/>
              <w:right w:val="single" w:sz="4" w:space="0" w:color="auto"/>
            </w:tcBorders>
          </w:tcPr>
          <w:p w:rsidR="00351D08" w:rsidRPr="00F759CF" w:rsidRDefault="00351D08" w:rsidP="00594ED6">
            <w:pPr>
              <w:snapToGrid w:val="0"/>
              <w:jc w:val="both"/>
            </w:pPr>
            <w:r w:rsidRPr="00F759CF">
              <w:t>Сигнализатор звука цифровой с вибрационной и световой индикацией для плохослышащих и глухих предназначен для информирования людей с нарушением слуха о наличии звуковых сигналов домофона, дверного звонка и телефонного звонка, плача ребенка, экстренного вызова (встроенная кнопка в передатчик плача ребенка).</w:t>
            </w:r>
          </w:p>
          <w:p w:rsidR="00351D08" w:rsidRPr="00F759CF" w:rsidRDefault="00351D08" w:rsidP="00594ED6">
            <w:pPr>
              <w:jc w:val="both"/>
            </w:pPr>
            <w:r w:rsidRPr="00F759CF">
              <w:t>Сигнализирующие устройство беспроводное по конструкции.</w:t>
            </w:r>
          </w:p>
          <w:p w:rsidR="00351D08" w:rsidRPr="00F759CF" w:rsidRDefault="00351D08" w:rsidP="00594ED6">
            <w:pPr>
              <w:jc w:val="both"/>
            </w:pPr>
            <w:r w:rsidRPr="00F759CF">
              <w:t xml:space="preserve">Цифровой вибрационно-световой индикатор привлекает внимание пользователя с помощью: </w:t>
            </w:r>
          </w:p>
          <w:p w:rsidR="00351D08" w:rsidRPr="00F759CF" w:rsidRDefault="00351D08" w:rsidP="00594ED6">
            <w:pPr>
              <w:jc w:val="both"/>
            </w:pPr>
            <w:r w:rsidRPr="00F759CF">
              <w:t>-вибрации корпуса наручного приемника</w:t>
            </w:r>
          </w:p>
          <w:p w:rsidR="00351D08" w:rsidRPr="00F759CF" w:rsidRDefault="00351D08" w:rsidP="00594ED6">
            <w:pPr>
              <w:jc w:val="both"/>
            </w:pPr>
            <w:r w:rsidRPr="00F759CF">
              <w:t>-светодиодной индикацией наручного приемника;</w:t>
            </w:r>
          </w:p>
          <w:p w:rsidR="00351D08" w:rsidRPr="00F759CF" w:rsidRDefault="00351D08" w:rsidP="00594ED6">
            <w:pPr>
              <w:jc w:val="both"/>
            </w:pPr>
            <w:r w:rsidRPr="00F759CF">
              <w:t>-индикацией рабочего состояния наручного приемника;</w:t>
            </w:r>
          </w:p>
          <w:p w:rsidR="00351D08" w:rsidRPr="00F759CF" w:rsidRDefault="00351D08" w:rsidP="00594ED6">
            <w:pPr>
              <w:jc w:val="both"/>
            </w:pPr>
            <w:r w:rsidRPr="00F759CF">
              <w:t>-светодиодной индикацией на корпусе передатчиков сигнала телефона/домофона, дверного звонка, плача ребенка, экстренного вызова о поступающих на передатчики сигналах.</w:t>
            </w:r>
          </w:p>
          <w:p w:rsidR="00351D08" w:rsidRPr="00F759CF" w:rsidRDefault="00351D08" w:rsidP="00594ED6">
            <w:pPr>
              <w:jc w:val="both"/>
            </w:pPr>
            <w:r w:rsidRPr="00F759CF">
              <w:t xml:space="preserve">Цифровой наручный приемник со светодиодной индикацией служит для приема сигналов домофона, дверного звонка, телефонного звонка, плача ребенка, экстренного вызова (встроенная кнопка в передатчик </w:t>
            </w:r>
            <w:r w:rsidRPr="00F759CF">
              <w:lastRenderedPageBreak/>
              <w:t>плача ребенка). Корпус наручного приемника выполнен в форм-факторе наручных часов. Имеет кнопку включения/сброса со светодиодной индикацией. При включенном приемнике, кнопка включения подает яркие периодические световые импульсы (индикатор рабочего состояния) различимые в дневное время суток. Для каждого бытового сигнала имеются специальные иконки с пиктограммой. При входящем сигнале на наручный приемник, загораются яркими вспышками хорошо различимыми в дневное время суток индивидуальные пиктограммы для каждого вида сигнала, сопровождающиеся индивидуальным тактильным рисунком вибрации для каждого типа сигнала. Наручный приемник оснащен эластичным ремешком для ношения на руке. Питания наручного приемника осуществляется от элементов питания.</w:t>
            </w:r>
          </w:p>
          <w:p w:rsidR="00351D08" w:rsidRPr="00F759CF" w:rsidRDefault="00351D08" w:rsidP="00594ED6">
            <w:pPr>
              <w:jc w:val="both"/>
            </w:pPr>
            <w:r w:rsidRPr="00F759CF">
              <w:t xml:space="preserve">Цифровые передатчики служат для передачи информации о входном сигнале дверного звонка, домофона, телефона на наручный приемник. В передатчиках установлены электрические датчики, что исключает возможность ложного срабатывания. Передатчик звонка домофона/телефона подключаются проводным способом к источнику сигнала с помощью модульных разъемов и клемм. Передатчик дверного звонка имеет вид беспроводного дверного звонка. Все передатчики оснащены световым индикатором для дополнительного оповещения инвалида о поступающем сигнале, а также кнопками для тестирования работоспособности системы. Кнопки передатчиков защищены интеллектуальной электронной системой от ложного срабатывания при случайном нажатии. </w:t>
            </w:r>
          </w:p>
          <w:p w:rsidR="00351D08" w:rsidRPr="00F759CF" w:rsidRDefault="00351D08" w:rsidP="00594ED6">
            <w:pPr>
              <w:jc w:val="both"/>
            </w:pPr>
            <w:r w:rsidRPr="00F759CF">
              <w:t xml:space="preserve">Цифровой передатчик плача ребенка служит для передачи информации о входном сигнале плача ребенка, экстренной кнопки вызова (встроенная кнопка в корпус передатчика) на наручный приемник. </w:t>
            </w:r>
          </w:p>
          <w:p w:rsidR="00351D08" w:rsidRPr="00F759CF" w:rsidRDefault="00351D08" w:rsidP="00594ED6">
            <w:pPr>
              <w:jc w:val="both"/>
            </w:pPr>
            <w:r w:rsidRPr="00F759CF">
              <w:t>В передатчике имеется функция включения и выключения микрофона с индикатором рабочего состояния. Передатчик оснащен светодиодным индикатором для дополнительного оповещения инвалида о поступающем сигнале, а также кнопкой для тестирования работоспособности системы. Кнопка экстренного вызова защищена интеллектуальной электронной системой от ложного срабатывания при случайном нажатии. Питание передатчика плача ребенка осуществляется от элементов питания.</w:t>
            </w:r>
          </w:p>
          <w:p w:rsidR="00351D08" w:rsidRPr="00F759CF" w:rsidRDefault="00351D08" w:rsidP="00594ED6">
            <w:pPr>
              <w:jc w:val="both"/>
            </w:pPr>
            <w:r w:rsidRPr="00F759CF">
              <w:t>В комплектацию сигнализатора входит:</w:t>
            </w:r>
          </w:p>
          <w:p w:rsidR="00351D08" w:rsidRPr="00F759CF" w:rsidRDefault="00351D08" w:rsidP="00594ED6">
            <w:pPr>
              <w:jc w:val="both"/>
            </w:pPr>
            <w:r w:rsidRPr="00F759CF">
              <w:t>- наручный приемник;</w:t>
            </w:r>
          </w:p>
          <w:p w:rsidR="00351D08" w:rsidRPr="00F759CF" w:rsidRDefault="00351D08" w:rsidP="00594ED6">
            <w:pPr>
              <w:jc w:val="both"/>
            </w:pPr>
            <w:r w:rsidRPr="00F759CF">
              <w:t>- передатчик звонка домофона/телефона;</w:t>
            </w:r>
          </w:p>
          <w:p w:rsidR="00351D08" w:rsidRPr="00F759CF" w:rsidRDefault="00351D08" w:rsidP="00594ED6">
            <w:pPr>
              <w:jc w:val="both"/>
            </w:pPr>
            <w:r w:rsidRPr="00F759CF">
              <w:t>- передатчик дверного звонка;</w:t>
            </w:r>
          </w:p>
          <w:p w:rsidR="00351D08" w:rsidRPr="00F759CF" w:rsidRDefault="00351D08" w:rsidP="00594ED6">
            <w:pPr>
              <w:jc w:val="both"/>
            </w:pPr>
            <w:r w:rsidRPr="00F759CF">
              <w:t>- передатчик плача ребенка, экстренного вызова (встроенная кнопка в передатчик плача ребенка);</w:t>
            </w:r>
          </w:p>
          <w:p w:rsidR="00351D08" w:rsidRPr="00F759CF" w:rsidRDefault="00351D08" w:rsidP="00594ED6">
            <w:pPr>
              <w:jc w:val="both"/>
            </w:pPr>
            <w:r w:rsidRPr="00F759CF">
              <w:lastRenderedPageBreak/>
              <w:t>- переходник для подключения к телефонной линии;</w:t>
            </w:r>
          </w:p>
          <w:p w:rsidR="00351D08" w:rsidRPr="00F759CF" w:rsidRDefault="00351D08" w:rsidP="00594ED6">
            <w:pPr>
              <w:jc w:val="both"/>
            </w:pPr>
            <w:r w:rsidRPr="00F759CF">
              <w:t>- клеммы для подключения к линии домофона;</w:t>
            </w:r>
          </w:p>
          <w:p w:rsidR="00351D08" w:rsidRPr="00F759CF" w:rsidRDefault="00351D08" w:rsidP="00594ED6">
            <w:pPr>
              <w:jc w:val="both"/>
            </w:pPr>
            <w:r w:rsidRPr="00F759CF">
              <w:t>- элементы питания, в количестве, необходимом для работы сигнализатора.</w:t>
            </w:r>
          </w:p>
          <w:p w:rsidR="00351D08" w:rsidRPr="00F759CF" w:rsidRDefault="00351D08" w:rsidP="00594ED6">
            <w:pPr>
              <w:jc w:val="both"/>
            </w:pPr>
            <w:r w:rsidRPr="00F759CF">
              <w:t>Конструкция сигнализатора обеспечивает пользователю удобство и простоту обращения, самостоятельную установку при подготовке и во время эксплуатации.</w:t>
            </w:r>
          </w:p>
          <w:p w:rsidR="00351D08" w:rsidRPr="00F759CF" w:rsidRDefault="00351D08" w:rsidP="00594ED6">
            <w:pPr>
              <w:jc w:val="both"/>
            </w:pPr>
            <w:r w:rsidRPr="00F759CF">
              <w:t>Радиус устойчивого приема сигнала:</w:t>
            </w:r>
          </w:p>
          <w:p w:rsidR="00351D08" w:rsidRPr="00F759CF" w:rsidRDefault="00351D08" w:rsidP="00594ED6">
            <w:pPr>
              <w:jc w:val="both"/>
            </w:pPr>
            <w:r w:rsidRPr="00F759CF">
              <w:t>- в условиях прямой видимости 30 м.</w:t>
            </w:r>
          </w:p>
          <w:p w:rsidR="00351D08" w:rsidRPr="00F759CF" w:rsidRDefault="00351D08" w:rsidP="00594ED6">
            <w:pPr>
              <w:jc w:val="both"/>
            </w:pPr>
            <w:r w:rsidRPr="00F759CF">
              <w:t>Количество адресов сигнализирующего устройства для гарантии отсутствия ложного срабатывания 65535.</w:t>
            </w:r>
          </w:p>
          <w:p w:rsidR="00351D08" w:rsidRPr="00F759CF" w:rsidRDefault="00351D08" w:rsidP="00594ED6">
            <w:pPr>
              <w:jc w:val="both"/>
            </w:pPr>
            <w:r w:rsidRPr="00F759CF">
              <w:t>Несущая частота передатчика – частота, разрешения для использования на территории Российской Федерации.</w:t>
            </w:r>
          </w:p>
        </w:tc>
        <w:tc>
          <w:tcPr>
            <w:tcW w:w="992" w:type="dxa"/>
            <w:tcBorders>
              <w:top w:val="single" w:sz="4" w:space="0" w:color="auto"/>
              <w:left w:val="single" w:sz="4" w:space="0" w:color="auto"/>
              <w:bottom w:val="single" w:sz="4" w:space="0" w:color="auto"/>
              <w:right w:val="single" w:sz="4" w:space="0" w:color="auto"/>
            </w:tcBorders>
            <w:noWrap/>
          </w:tcPr>
          <w:p w:rsidR="00351D08" w:rsidRPr="00F759CF" w:rsidRDefault="00351D08" w:rsidP="007D193C">
            <w:pPr>
              <w:widowControl/>
              <w:suppressAutoHyphens w:val="0"/>
              <w:autoSpaceDN/>
              <w:jc w:val="center"/>
              <w:textAlignment w:val="auto"/>
              <w:rPr>
                <w:rFonts w:eastAsia="Times New Roman" w:cs="Times New Roman"/>
                <w:kern w:val="0"/>
                <w:lang w:eastAsia="ru-RU" w:bidi="ar-SA"/>
              </w:rPr>
            </w:pPr>
            <w:r w:rsidRPr="00F759CF">
              <w:rPr>
                <w:rFonts w:eastAsia="Times New Roman" w:cs="Times New Roman"/>
                <w:kern w:val="0"/>
                <w:lang w:eastAsia="ru-RU" w:bidi="ar-SA"/>
              </w:rPr>
              <w:lastRenderedPageBreak/>
              <w:t>шт</w:t>
            </w:r>
          </w:p>
        </w:tc>
        <w:tc>
          <w:tcPr>
            <w:tcW w:w="1276" w:type="dxa"/>
            <w:tcBorders>
              <w:top w:val="single" w:sz="4" w:space="0" w:color="auto"/>
              <w:left w:val="single" w:sz="4" w:space="0" w:color="auto"/>
              <w:bottom w:val="single" w:sz="4" w:space="0" w:color="auto"/>
              <w:right w:val="single" w:sz="4" w:space="0" w:color="auto"/>
            </w:tcBorders>
            <w:noWrap/>
          </w:tcPr>
          <w:p w:rsidR="00351D08" w:rsidRPr="00F759CF" w:rsidRDefault="00351D08" w:rsidP="007D193C">
            <w:pPr>
              <w:widowControl/>
              <w:suppressAutoHyphens w:val="0"/>
              <w:autoSpaceDN/>
              <w:jc w:val="center"/>
              <w:textAlignment w:val="auto"/>
              <w:rPr>
                <w:rFonts w:eastAsia="Times New Roman" w:cs="Times New Roman"/>
                <w:kern w:val="0"/>
                <w:lang w:eastAsia="ru-RU" w:bidi="ar-SA"/>
              </w:rPr>
            </w:pPr>
            <w:r w:rsidRPr="00F759CF">
              <w:rPr>
                <w:rFonts w:eastAsia="Times New Roman" w:cs="Times New Roman"/>
                <w:kern w:val="0"/>
                <w:lang w:eastAsia="ru-RU" w:bidi="ar-SA"/>
              </w:rPr>
              <w:t>6426,31</w:t>
            </w:r>
          </w:p>
        </w:tc>
      </w:tr>
      <w:tr w:rsidR="00351D08" w:rsidRPr="00767A24" w:rsidTr="00F759CF">
        <w:trPr>
          <w:trHeight w:val="428"/>
          <w:jc w:val="center"/>
        </w:trPr>
        <w:tc>
          <w:tcPr>
            <w:tcW w:w="7650" w:type="dxa"/>
            <w:gridSpan w:val="2"/>
            <w:tcBorders>
              <w:top w:val="single" w:sz="4" w:space="0" w:color="auto"/>
              <w:left w:val="single" w:sz="4" w:space="0" w:color="auto"/>
              <w:bottom w:val="single" w:sz="4" w:space="0" w:color="auto"/>
              <w:right w:val="single" w:sz="4" w:space="0" w:color="auto"/>
            </w:tcBorders>
            <w:noWrap/>
          </w:tcPr>
          <w:p w:rsidR="00351D08" w:rsidRPr="00767A24" w:rsidRDefault="00351D08" w:rsidP="007D193C">
            <w:pPr>
              <w:snapToGrid w:val="0"/>
              <w:jc w:val="both"/>
            </w:pPr>
            <w:r w:rsidRPr="00767A24">
              <w:lastRenderedPageBreak/>
              <w:t>Итого</w:t>
            </w:r>
          </w:p>
        </w:tc>
        <w:tc>
          <w:tcPr>
            <w:tcW w:w="992" w:type="dxa"/>
            <w:tcBorders>
              <w:top w:val="single" w:sz="4" w:space="0" w:color="auto"/>
              <w:left w:val="single" w:sz="4" w:space="0" w:color="auto"/>
              <w:bottom w:val="single" w:sz="4" w:space="0" w:color="auto"/>
              <w:right w:val="single" w:sz="4" w:space="0" w:color="auto"/>
            </w:tcBorders>
            <w:noWrap/>
          </w:tcPr>
          <w:p w:rsidR="00351D08" w:rsidRPr="00767A24" w:rsidRDefault="00351D08" w:rsidP="007D193C">
            <w:pPr>
              <w:widowControl/>
              <w:suppressAutoHyphens w:val="0"/>
              <w:autoSpaceDN/>
              <w:jc w:val="center"/>
              <w:textAlignment w:val="auto"/>
              <w:rPr>
                <w:rFonts w:eastAsia="Times New Roman" w:cs="Times New Roman"/>
                <w:kern w:val="0"/>
                <w:lang w:eastAsia="ru-RU" w:bidi="ar-SA"/>
              </w:rPr>
            </w:pPr>
          </w:p>
        </w:tc>
        <w:tc>
          <w:tcPr>
            <w:tcW w:w="1276" w:type="dxa"/>
            <w:tcBorders>
              <w:top w:val="single" w:sz="4" w:space="0" w:color="auto"/>
              <w:left w:val="single" w:sz="4" w:space="0" w:color="auto"/>
              <w:bottom w:val="single" w:sz="4" w:space="0" w:color="auto"/>
              <w:right w:val="single" w:sz="4" w:space="0" w:color="auto"/>
            </w:tcBorders>
            <w:noWrap/>
          </w:tcPr>
          <w:p w:rsidR="00351D08" w:rsidRPr="00767A24" w:rsidRDefault="00351D08" w:rsidP="007D193C">
            <w:pPr>
              <w:widowControl/>
              <w:suppressAutoHyphens w:val="0"/>
              <w:autoSpaceDN/>
              <w:jc w:val="center"/>
              <w:textAlignment w:val="auto"/>
              <w:rPr>
                <w:rFonts w:eastAsia="Times New Roman" w:cs="Times New Roman"/>
                <w:kern w:val="0"/>
                <w:lang w:eastAsia="ru-RU" w:bidi="ar-SA"/>
              </w:rPr>
            </w:pPr>
            <w:r w:rsidRPr="00767A24">
              <w:rPr>
                <w:rFonts w:cs="Times New Roman"/>
              </w:rPr>
              <w:t>16536,79</w:t>
            </w:r>
          </w:p>
        </w:tc>
      </w:tr>
      <w:tr w:rsidR="00351D08" w:rsidRPr="007B62FC" w:rsidTr="00F759CF">
        <w:trPr>
          <w:trHeight w:val="428"/>
          <w:jc w:val="center"/>
        </w:trPr>
        <w:tc>
          <w:tcPr>
            <w:tcW w:w="9918" w:type="dxa"/>
            <w:gridSpan w:val="4"/>
            <w:tcBorders>
              <w:top w:val="single" w:sz="4" w:space="0" w:color="auto"/>
              <w:left w:val="single" w:sz="4" w:space="0" w:color="auto"/>
              <w:bottom w:val="single" w:sz="4" w:space="0" w:color="auto"/>
              <w:right w:val="single" w:sz="4" w:space="0" w:color="auto"/>
            </w:tcBorders>
            <w:noWrap/>
          </w:tcPr>
          <w:p w:rsidR="00351D08" w:rsidRDefault="00BE7524" w:rsidP="00BE7524">
            <w:pPr>
              <w:widowControl/>
              <w:suppressAutoHyphens w:val="0"/>
              <w:autoSpaceDN/>
              <w:textAlignment w:val="auto"/>
              <w:rPr>
                <w:rFonts w:eastAsia="Times New Roman" w:cs="Times New Roman"/>
                <w:kern w:val="0"/>
                <w:lang w:eastAsia="ru-RU" w:bidi="ar-SA"/>
              </w:rPr>
            </w:pPr>
            <w:r>
              <w:rPr>
                <w:rFonts w:cs="Times New Roman"/>
              </w:rPr>
              <w:t>Ц</w:t>
            </w:r>
            <w:r w:rsidR="00351D08">
              <w:rPr>
                <w:rFonts w:cs="Times New Roman"/>
              </w:rPr>
              <w:t>ена за единицу: 16536,79 (Шестнадцать тысяч пятьсот тридцать шесть) рублей 79 копеек</w:t>
            </w:r>
          </w:p>
        </w:tc>
      </w:tr>
      <w:tr w:rsidR="0018701E" w:rsidRPr="007B62FC" w:rsidTr="00F759CF">
        <w:trPr>
          <w:trHeight w:val="428"/>
          <w:jc w:val="center"/>
        </w:trPr>
        <w:tc>
          <w:tcPr>
            <w:tcW w:w="9918" w:type="dxa"/>
            <w:gridSpan w:val="4"/>
            <w:tcBorders>
              <w:top w:val="single" w:sz="4" w:space="0" w:color="auto"/>
              <w:left w:val="single" w:sz="4" w:space="0" w:color="auto"/>
              <w:bottom w:val="single" w:sz="4" w:space="0" w:color="auto"/>
              <w:right w:val="single" w:sz="4" w:space="0" w:color="auto"/>
            </w:tcBorders>
            <w:noWrap/>
          </w:tcPr>
          <w:p w:rsidR="0018701E" w:rsidRDefault="0018701E" w:rsidP="00BE7524">
            <w:pPr>
              <w:widowControl/>
              <w:suppressAutoHyphens w:val="0"/>
              <w:autoSpaceDN/>
              <w:textAlignment w:val="auto"/>
              <w:rPr>
                <w:rFonts w:cs="Times New Roman"/>
              </w:rPr>
            </w:pPr>
            <w:r w:rsidRPr="0018701E">
              <w:rPr>
                <w:rFonts w:cs="Times New Roman"/>
              </w:rPr>
              <w:t>Максимальное значение цены Контракта составляет 300000,00 (Триста тысяч) рублей 00 копеек</w:t>
            </w:r>
            <w:r>
              <w:rPr>
                <w:rFonts w:cs="Times New Roman"/>
              </w:rPr>
              <w:t>.</w:t>
            </w:r>
          </w:p>
        </w:tc>
      </w:tr>
    </w:tbl>
    <w:p w:rsidR="00722FFD" w:rsidRDefault="00722FFD" w:rsidP="00304E98">
      <w:pPr>
        <w:widowControl/>
        <w:jc w:val="both"/>
        <w:rPr>
          <w:lang w:eastAsia="ar-SA"/>
        </w:rPr>
      </w:pPr>
    </w:p>
    <w:p w:rsidR="003D2497" w:rsidRDefault="003D2497">
      <w:pPr>
        <w:pStyle w:val="ConsPlusNormal"/>
        <w:jc w:val="both"/>
        <w:rPr>
          <w:rFonts w:ascii="Times New Roman" w:hAnsi="Times New Roman" w:cs="Times New Roman"/>
          <w:sz w:val="26"/>
          <w:szCs w:val="26"/>
        </w:rPr>
      </w:pPr>
    </w:p>
    <w:p w:rsidR="003D2497" w:rsidRDefault="003D2497">
      <w:pPr>
        <w:pStyle w:val="ConsPlusNormal"/>
        <w:jc w:val="both"/>
        <w:rPr>
          <w:rFonts w:ascii="Times New Roman" w:hAnsi="Times New Roman" w:cs="Times New Roman"/>
          <w:sz w:val="26"/>
          <w:szCs w:val="26"/>
        </w:rPr>
      </w:pPr>
    </w:p>
    <w:p w:rsidR="00CE7C30" w:rsidRDefault="00CE7C30">
      <w:pPr>
        <w:pStyle w:val="ConsPlusNormal"/>
        <w:jc w:val="both"/>
        <w:rPr>
          <w:rFonts w:ascii="Times New Roman" w:hAnsi="Times New Roman" w:cs="Times New Roman"/>
          <w:sz w:val="26"/>
          <w:szCs w:val="26"/>
        </w:rPr>
      </w:pPr>
    </w:p>
    <w:p w:rsidR="00CE7C30" w:rsidRDefault="00CE7C30">
      <w:pPr>
        <w:pStyle w:val="ConsPlusNormal"/>
        <w:jc w:val="both"/>
        <w:rPr>
          <w:rFonts w:ascii="Times New Roman" w:hAnsi="Times New Roman" w:cs="Times New Roman"/>
          <w:sz w:val="26"/>
          <w:szCs w:val="26"/>
        </w:rPr>
      </w:pPr>
    </w:p>
    <w:p w:rsidR="00CE7C30" w:rsidRDefault="00CE7C30">
      <w:pPr>
        <w:pStyle w:val="ConsPlusNormal"/>
        <w:jc w:val="both"/>
        <w:rPr>
          <w:rFonts w:ascii="Times New Roman" w:hAnsi="Times New Roman" w:cs="Times New Roman"/>
          <w:sz w:val="26"/>
          <w:szCs w:val="26"/>
        </w:rPr>
      </w:pPr>
    </w:p>
    <w:sectPr w:rsidR="00CE7C30" w:rsidSect="00F316BF">
      <w:headerReference w:type="default" r:id="rId8"/>
      <w:pgSz w:w="11906" w:h="16838"/>
      <w:pgMar w:top="1134" w:right="851" w:bottom="1134" w:left="1247"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65B" w:rsidRDefault="0036065B" w:rsidP="003279C6">
      <w:r>
        <w:separator/>
      </w:r>
    </w:p>
  </w:endnote>
  <w:endnote w:type="continuationSeparator" w:id="1">
    <w:p w:rsidR="0036065B" w:rsidRDefault="0036065B" w:rsidP="003279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NSimSun">
    <w:panose1 w:val="02010609030101010101"/>
    <w:charset w:val="86"/>
    <w:family w:val="modern"/>
    <w:pitch w:val="fixed"/>
    <w:sig w:usb0="00000003" w:usb1="288F0000" w:usb2="00000016" w:usb3="00000000" w:csb0="0004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65B" w:rsidRDefault="0036065B" w:rsidP="003279C6">
      <w:r>
        <w:separator/>
      </w:r>
    </w:p>
  </w:footnote>
  <w:footnote w:type="continuationSeparator" w:id="1">
    <w:p w:rsidR="0036065B" w:rsidRDefault="0036065B" w:rsidP="003279C6">
      <w:r>
        <w:continuationSeparator/>
      </w:r>
    </w:p>
  </w:footnote>
  <w:footnote w:id="2">
    <w:p w:rsidR="007614C5" w:rsidRDefault="007614C5" w:rsidP="007B62FC">
      <w:pPr>
        <w:pStyle w:val="a5"/>
      </w:pPr>
      <w:r>
        <w:rPr>
          <w:rStyle w:val="a7"/>
        </w:rPr>
        <w:footnoteRef/>
      </w:r>
      <w:r>
        <w:t xml:space="preserve"> Указывается вид и (или) наименование технического средства реабилитации в соответствии с графой 3 Классификации.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0118379"/>
      <w:docPartObj>
        <w:docPartGallery w:val="Page Numbers (Top of Page)"/>
        <w:docPartUnique/>
      </w:docPartObj>
    </w:sdtPr>
    <w:sdtContent>
      <w:p w:rsidR="007614C5" w:rsidRDefault="00BE0C50">
        <w:pPr>
          <w:pStyle w:val="a8"/>
          <w:jc w:val="center"/>
        </w:pPr>
        <w:r>
          <w:fldChar w:fldCharType="begin"/>
        </w:r>
        <w:r w:rsidR="007614C5">
          <w:instrText>PAGE   \* MERGEFORMAT</w:instrText>
        </w:r>
        <w:r>
          <w:fldChar w:fldCharType="separate"/>
        </w:r>
        <w:r w:rsidR="00500606">
          <w:rPr>
            <w:noProof/>
          </w:rPr>
          <w:t>6</w:t>
        </w:r>
        <w:r>
          <w:fldChar w:fldCharType="end"/>
        </w:r>
      </w:p>
    </w:sdtContent>
  </w:sdt>
  <w:p w:rsidR="007614C5" w:rsidRDefault="007614C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4014B"/>
    <w:multiLevelType w:val="hybridMultilevel"/>
    <w:tmpl w:val="E13C7868"/>
    <w:lvl w:ilvl="0" w:tplc="FACC2084">
      <w:start w:val="14"/>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
    <w:nsid w:val="247A24CB"/>
    <w:multiLevelType w:val="hybridMultilevel"/>
    <w:tmpl w:val="6674DA76"/>
    <w:lvl w:ilvl="0" w:tplc="7CEC09CE">
      <w:start w:val="14"/>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
    <w:nsid w:val="2CF04185"/>
    <w:multiLevelType w:val="hybridMultilevel"/>
    <w:tmpl w:val="45C4F91E"/>
    <w:lvl w:ilvl="0" w:tplc="B27EFCDC">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3850ADE"/>
    <w:multiLevelType w:val="hybridMultilevel"/>
    <w:tmpl w:val="ACFE007E"/>
    <w:lvl w:ilvl="0" w:tplc="90E8C03E">
      <w:start w:val="4"/>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44621C2A"/>
    <w:multiLevelType w:val="hybridMultilevel"/>
    <w:tmpl w:val="0FC0A87A"/>
    <w:lvl w:ilvl="0" w:tplc="7124147A">
      <w:start w:val="14"/>
      <w:numFmt w:val="bullet"/>
      <w:lvlText w:val=""/>
      <w:lvlJc w:val="left"/>
      <w:pPr>
        <w:ind w:left="1260" w:hanging="360"/>
      </w:pPr>
      <w:rPr>
        <w:rFonts w:ascii="Symbol" w:eastAsia="Times New Roman" w:hAnsi="Symbol"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64247CE4"/>
    <w:multiLevelType w:val="hybridMultilevel"/>
    <w:tmpl w:val="9A32F4D4"/>
    <w:lvl w:ilvl="0" w:tplc="431E2122">
      <w:start w:val="14"/>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0"/>
    <w:footnote w:id="1"/>
  </w:footnotePr>
  <w:endnotePr>
    <w:endnote w:id="0"/>
    <w:endnote w:id="1"/>
  </w:endnotePr>
  <w:compat/>
  <w:rsids>
    <w:rsidRoot w:val="001F6529"/>
    <w:rsid w:val="00000503"/>
    <w:rsid w:val="0000493D"/>
    <w:rsid w:val="00005645"/>
    <w:rsid w:val="00005ED7"/>
    <w:rsid w:val="00006220"/>
    <w:rsid w:val="0001076B"/>
    <w:rsid w:val="000123FC"/>
    <w:rsid w:val="00013054"/>
    <w:rsid w:val="00015296"/>
    <w:rsid w:val="00015955"/>
    <w:rsid w:val="00016B0D"/>
    <w:rsid w:val="00016F16"/>
    <w:rsid w:val="000225DE"/>
    <w:rsid w:val="000228A7"/>
    <w:rsid w:val="00023501"/>
    <w:rsid w:val="00030C3B"/>
    <w:rsid w:val="00032D74"/>
    <w:rsid w:val="00033997"/>
    <w:rsid w:val="00033DE7"/>
    <w:rsid w:val="0003401E"/>
    <w:rsid w:val="00034142"/>
    <w:rsid w:val="00034C2C"/>
    <w:rsid w:val="00037B9D"/>
    <w:rsid w:val="00040186"/>
    <w:rsid w:val="0004197D"/>
    <w:rsid w:val="0004275C"/>
    <w:rsid w:val="00044BED"/>
    <w:rsid w:val="00044FF1"/>
    <w:rsid w:val="000462B7"/>
    <w:rsid w:val="000465D1"/>
    <w:rsid w:val="00047A47"/>
    <w:rsid w:val="000508CB"/>
    <w:rsid w:val="00053C45"/>
    <w:rsid w:val="00053D79"/>
    <w:rsid w:val="0005415A"/>
    <w:rsid w:val="00056B03"/>
    <w:rsid w:val="00060F38"/>
    <w:rsid w:val="000626F5"/>
    <w:rsid w:val="00063662"/>
    <w:rsid w:val="000653E4"/>
    <w:rsid w:val="00065FA3"/>
    <w:rsid w:val="00067142"/>
    <w:rsid w:val="00067ECB"/>
    <w:rsid w:val="00072812"/>
    <w:rsid w:val="000735FA"/>
    <w:rsid w:val="0007593A"/>
    <w:rsid w:val="00076BB0"/>
    <w:rsid w:val="000774E7"/>
    <w:rsid w:val="0007762C"/>
    <w:rsid w:val="0007773D"/>
    <w:rsid w:val="00082867"/>
    <w:rsid w:val="000867CA"/>
    <w:rsid w:val="00086B21"/>
    <w:rsid w:val="00087AD1"/>
    <w:rsid w:val="00092862"/>
    <w:rsid w:val="00092BBA"/>
    <w:rsid w:val="0009395C"/>
    <w:rsid w:val="000948EE"/>
    <w:rsid w:val="000A18A8"/>
    <w:rsid w:val="000A22B7"/>
    <w:rsid w:val="000A25A0"/>
    <w:rsid w:val="000A2A11"/>
    <w:rsid w:val="000A2D3A"/>
    <w:rsid w:val="000A2E57"/>
    <w:rsid w:val="000A4181"/>
    <w:rsid w:val="000A422C"/>
    <w:rsid w:val="000A5056"/>
    <w:rsid w:val="000B5097"/>
    <w:rsid w:val="000C04BA"/>
    <w:rsid w:val="000C0ACD"/>
    <w:rsid w:val="000C172B"/>
    <w:rsid w:val="000C2FA1"/>
    <w:rsid w:val="000C32FC"/>
    <w:rsid w:val="000D07FE"/>
    <w:rsid w:val="000D1197"/>
    <w:rsid w:val="000D39B9"/>
    <w:rsid w:val="000D6046"/>
    <w:rsid w:val="000D6B51"/>
    <w:rsid w:val="000E0947"/>
    <w:rsid w:val="000E120D"/>
    <w:rsid w:val="000E37E3"/>
    <w:rsid w:val="000E49A8"/>
    <w:rsid w:val="000E5243"/>
    <w:rsid w:val="000E63AB"/>
    <w:rsid w:val="000E681E"/>
    <w:rsid w:val="000E75EC"/>
    <w:rsid w:val="000E7FAA"/>
    <w:rsid w:val="000F17EE"/>
    <w:rsid w:val="000F2829"/>
    <w:rsid w:val="000F5096"/>
    <w:rsid w:val="000F5C55"/>
    <w:rsid w:val="000F7EBD"/>
    <w:rsid w:val="00101192"/>
    <w:rsid w:val="00102015"/>
    <w:rsid w:val="00102400"/>
    <w:rsid w:val="00102FE9"/>
    <w:rsid w:val="00103EB3"/>
    <w:rsid w:val="001047A7"/>
    <w:rsid w:val="00104A7F"/>
    <w:rsid w:val="00105937"/>
    <w:rsid w:val="00110D88"/>
    <w:rsid w:val="00112C65"/>
    <w:rsid w:val="00122261"/>
    <w:rsid w:val="00123FF1"/>
    <w:rsid w:val="00126C59"/>
    <w:rsid w:val="00127E3A"/>
    <w:rsid w:val="00132C24"/>
    <w:rsid w:val="001335C3"/>
    <w:rsid w:val="00133A4C"/>
    <w:rsid w:val="00135709"/>
    <w:rsid w:val="00140215"/>
    <w:rsid w:val="0014029B"/>
    <w:rsid w:val="00141B7F"/>
    <w:rsid w:val="00141D97"/>
    <w:rsid w:val="00143520"/>
    <w:rsid w:val="00143946"/>
    <w:rsid w:val="00145880"/>
    <w:rsid w:val="00152354"/>
    <w:rsid w:val="00152CED"/>
    <w:rsid w:val="00152D96"/>
    <w:rsid w:val="00155727"/>
    <w:rsid w:val="00155AD2"/>
    <w:rsid w:val="00163C85"/>
    <w:rsid w:val="001645D2"/>
    <w:rsid w:val="00166B5C"/>
    <w:rsid w:val="00167A40"/>
    <w:rsid w:val="00167D48"/>
    <w:rsid w:val="00170ABA"/>
    <w:rsid w:val="001713C5"/>
    <w:rsid w:val="00173365"/>
    <w:rsid w:val="0017347B"/>
    <w:rsid w:val="00175846"/>
    <w:rsid w:val="00177BFC"/>
    <w:rsid w:val="001804A2"/>
    <w:rsid w:val="0018121A"/>
    <w:rsid w:val="00182528"/>
    <w:rsid w:val="001848BB"/>
    <w:rsid w:val="00184959"/>
    <w:rsid w:val="0018545A"/>
    <w:rsid w:val="00187012"/>
    <w:rsid w:val="0018701E"/>
    <w:rsid w:val="00193F96"/>
    <w:rsid w:val="001947E9"/>
    <w:rsid w:val="00196F39"/>
    <w:rsid w:val="001A181F"/>
    <w:rsid w:val="001A251A"/>
    <w:rsid w:val="001A4580"/>
    <w:rsid w:val="001A67D0"/>
    <w:rsid w:val="001A6873"/>
    <w:rsid w:val="001A7B5C"/>
    <w:rsid w:val="001B02EE"/>
    <w:rsid w:val="001B0999"/>
    <w:rsid w:val="001B0B48"/>
    <w:rsid w:val="001B3073"/>
    <w:rsid w:val="001B37CB"/>
    <w:rsid w:val="001B60B3"/>
    <w:rsid w:val="001B66A8"/>
    <w:rsid w:val="001B7569"/>
    <w:rsid w:val="001C27FB"/>
    <w:rsid w:val="001C468A"/>
    <w:rsid w:val="001C5057"/>
    <w:rsid w:val="001C6AE7"/>
    <w:rsid w:val="001C700D"/>
    <w:rsid w:val="001C7A8E"/>
    <w:rsid w:val="001D0B6A"/>
    <w:rsid w:val="001D22A7"/>
    <w:rsid w:val="001D4075"/>
    <w:rsid w:val="001D5845"/>
    <w:rsid w:val="001E032D"/>
    <w:rsid w:val="001E2A3F"/>
    <w:rsid w:val="001E51C1"/>
    <w:rsid w:val="001E56CD"/>
    <w:rsid w:val="001E69F3"/>
    <w:rsid w:val="001E705D"/>
    <w:rsid w:val="001F14FC"/>
    <w:rsid w:val="001F1D6C"/>
    <w:rsid w:val="001F2341"/>
    <w:rsid w:val="001F280C"/>
    <w:rsid w:val="001F364A"/>
    <w:rsid w:val="001F4337"/>
    <w:rsid w:val="001F4961"/>
    <w:rsid w:val="001F4BB2"/>
    <w:rsid w:val="001F6529"/>
    <w:rsid w:val="002012F5"/>
    <w:rsid w:val="0020130D"/>
    <w:rsid w:val="00201389"/>
    <w:rsid w:val="00201C66"/>
    <w:rsid w:val="00201CE3"/>
    <w:rsid w:val="00202383"/>
    <w:rsid w:val="00206DB7"/>
    <w:rsid w:val="00207BBB"/>
    <w:rsid w:val="00210B00"/>
    <w:rsid w:val="002126BA"/>
    <w:rsid w:val="002134D1"/>
    <w:rsid w:val="002140B8"/>
    <w:rsid w:val="002177A8"/>
    <w:rsid w:val="00217ADC"/>
    <w:rsid w:val="00222B1D"/>
    <w:rsid w:val="002241C8"/>
    <w:rsid w:val="002249C9"/>
    <w:rsid w:val="00225401"/>
    <w:rsid w:val="002262FC"/>
    <w:rsid w:val="002277BA"/>
    <w:rsid w:val="00230AA2"/>
    <w:rsid w:val="002318F8"/>
    <w:rsid w:val="002330D6"/>
    <w:rsid w:val="002332A4"/>
    <w:rsid w:val="00233D97"/>
    <w:rsid w:val="0024061C"/>
    <w:rsid w:val="002411F2"/>
    <w:rsid w:val="002424D8"/>
    <w:rsid w:val="00242948"/>
    <w:rsid w:val="00245786"/>
    <w:rsid w:val="00245DA1"/>
    <w:rsid w:val="00245F6F"/>
    <w:rsid w:val="00246157"/>
    <w:rsid w:val="00252AE9"/>
    <w:rsid w:val="0025467B"/>
    <w:rsid w:val="00254818"/>
    <w:rsid w:val="002570D3"/>
    <w:rsid w:val="00260433"/>
    <w:rsid w:val="002612DE"/>
    <w:rsid w:val="002706C5"/>
    <w:rsid w:val="00271F5F"/>
    <w:rsid w:val="00273C22"/>
    <w:rsid w:val="00273FB4"/>
    <w:rsid w:val="00274F05"/>
    <w:rsid w:val="002750CA"/>
    <w:rsid w:val="0027640E"/>
    <w:rsid w:val="002809D3"/>
    <w:rsid w:val="00280CC1"/>
    <w:rsid w:val="0028453B"/>
    <w:rsid w:val="00285049"/>
    <w:rsid w:val="002859D9"/>
    <w:rsid w:val="00285A04"/>
    <w:rsid w:val="002919F3"/>
    <w:rsid w:val="00292DE0"/>
    <w:rsid w:val="00294EB7"/>
    <w:rsid w:val="00295697"/>
    <w:rsid w:val="00295E04"/>
    <w:rsid w:val="002A0566"/>
    <w:rsid w:val="002A0573"/>
    <w:rsid w:val="002A07AD"/>
    <w:rsid w:val="002A0ED3"/>
    <w:rsid w:val="002A1A3F"/>
    <w:rsid w:val="002A4CB7"/>
    <w:rsid w:val="002A72B6"/>
    <w:rsid w:val="002B02B9"/>
    <w:rsid w:val="002B0518"/>
    <w:rsid w:val="002B11EB"/>
    <w:rsid w:val="002B1A47"/>
    <w:rsid w:val="002B2161"/>
    <w:rsid w:val="002B2D7C"/>
    <w:rsid w:val="002B32DA"/>
    <w:rsid w:val="002B36B0"/>
    <w:rsid w:val="002B50EF"/>
    <w:rsid w:val="002B6C5F"/>
    <w:rsid w:val="002B7C9F"/>
    <w:rsid w:val="002B7E1B"/>
    <w:rsid w:val="002C0AAD"/>
    <w:rsid w:val="002C2B17"/>
    <w:rsid w:val="002C4F26"/>
    <w:rsid w:val="002D1698"/>
    <w:rsid w:val="002D2B7F"/>
    <w:rsid w:val="002D3206"/>
    <w:rsid w:val="002D325D"/>
    <w:rsid w:val="002D3EB5"/>
    <w:rsid w:val="002D514D"/>
    <w:rsid w:val="002D573C"/>
    <w:rsid w:val="002D6383"/>
    <w:rsid w:val="002D6638"/>
    <w:rsid w:val="002D7EA4"/>
    <w:rsid w:val="002E135F"/>
    <w:rsid w:val="002E2C60"/>
    <w:rsid w:val="002E2C74"/>
    <w:rsid w:val="002E34BD"/>
    <w:rsid w:val="002E7B7A"/>
    <w:rsid w:val="002F19EB"/>
    <w:rsid w:val="002F7E81"/>
    <w:rsid w:val="00300C8C"/>
    <w:rsid w:val="00304CC6"/>
    <w:rsid w:val="00304E98"/>
    <w:rsid w:val="00311E8C"/>
    <w:rsid w:val="003141D1"/>
    <w:rsid w:val="0031448D"/>
    <w:rsid w:val="0031555C"/>
    <w:rsid w:val="00316BCD"/>
    <w:rsid w:val="00317A48"/>
    <w:rsid w:val="00321366"/>
    <w:rsid w:val="00321CA2"/>
    <w:rsid w:val="0032380B"/>
    <w:rsid w:val="003242E7"/>
    <w:rsid w:val="00324517"/>
    <w:rsid w:val="003253C3"/>
    <w:rsid w:val="0032640D"/>
    <w:rsid w:val="003279C6"/>
    <w:rsid w:val="003307E5"/>
    <w:rsid w:val="003317EF"/>
    <w:rsid w:val="00332A7A"/>
    <w:rsid w:val="00337485"/>
    <w:rsid w:val="00337F6A"/>
    <w:rsid w:val="003410BF"/>
    <w:rsid w:val="00341E55"/>
    <w:rsid w:val="00343972"/>
    <w:rsid w:val="00345369"/>
    <w:rsid w:val="00345F6B"/>
    <w:rsid w:val="00350545"/>
    <w:rsid w:val="00351D08"/>
    <w:rsid w:val="003520A9"/>
    <w:rsid w:val="00355734"/>
    <w:rsid w:val="003566D8"/>
    <w:rsid w:val="00357431"/>
    <w:rsid w:val="003576FF"/>
    <w:rsid w:val="0036065B"/>
    <w:rsid w:val="00361695"/>
    <w:rsid w:val="00364375"/>
    <w:rsid w:val="003644F2"/>
    <w:rsid w:val="003664DC"/>
    <w:rsid w:val="00367124"/>
    <w:rsid w:val="003677E4"/>
    <w:rsid w:val="003717AB"/>
    <w:rsid w:val="00371A77"/>
    <w:rsid w:val="0037428D"/>
    <w:rsid w:val="003742B6"/>
    <w:rsid w:val="00374846"/>
    <w:rsid w:val="00376054"/>
    <w:rsid w:val="00376B4C"/>
    <w:rsid w:val="00381864"/>
    <w:rsid w:val="00381CC5"/>
    <w:rsid w:val="00382F00"/>
    <w:rsid w:val="0038325B"/>
    <w:rsid w:val="0038375E"/>
    <w:rsid w:val="00383CED"/>
    <w:rsid w:val="003844CD"/>
    <w:rsid w:val="0039036B"/>
    <w:rsid w:val="003913B6"/>
    <w:rsid w:val="00392F84"/>
    <w:rsid w:val="00393D8B"/>
    <w:rsid w:val="003960FD"/>
    <w:rsid w:val="003974C6"/>
    <w:rsid w:val="003975B1"/>
    <w:rsid w:val="00397B48"/>
    <w:rsid w:val="00397E33"/>
    <w:rsid w:val="003A111A"/>
    <w:rsid w:val="003A11F1"/>
    <w:rsid w:val="003A1BCD"/>
    <w:rsid w:val="003A29C0"/>
    <w:rsid w:val="003A37CF"/>
    <w:rsid w:val="003A5476"/>
    <w:rsid w:val="003B0042"/>
    <w:rsid w:val="003B0F3F"/>
    <w:rsid w:val="003B1FE9"/>
    <w:rsid w:val="003B4FE8"/>
    <w:rsid w:val="003B69ED"/>
    <w:rsid w:val="003B6FE5"/>
    <w:rsid w:val="003B7AB4"/>
    <w:rsid w:val="003C02F6"/>
    <w:rsid w:val="003C0D62"/>
    <w:rsid w:val="003C4017"/>
    <w:rsid w:val="003C7224"/>
    <w:rsid w:val="003C7728"/>
    <w:rsid w:val="003C7EC6"/>
    <w:rsid w:val="003D2497"/>
    <w:rsid w:val="003D379E"/>
    <w:rsid w:val="003D4566"/>
    <w:rsid w:val="003D5545"/>
    <w:rsid w:val="003D6598"/>
    <w:rsid w:val="003D7194"/>
    <w:rsid w:val="003D7CA1"/>
    <w:rsid w:val="003E09F1"/>
    <w:rsid w:val="003E13C9"/>
    <w:rsid w:val="003E2AD4"/>
    <w:rsid w:val="003E4F21"/>
    <w:rsid w:val="003E588B"/>
    <w:rsid w:val="003E7C75"/>
    <w:rsid w:val="003F1657"/>
    <w:rsid w:val="003F1AB6"/>
    <w:rsid w:val="00401C4E"/>
    <w:rsid w:val="00402B0C"/>
    <w:rsid w:val="0040411E"/>
    <w:rsid w:val="00404B89"/>
    <w:rsid w:val="00405C07"/>
    <w:rsid w:val="004062BD"/>
    <w:rsid w:val="00407AA6"/>
    <w:rsid w:val="0041023B"/>
    <w:rsid w:val="004128EE"/>
    <w:rsid w:val="00414AA7"/>
    <w:rsid w:val="0041561D"/>
    <w:rsid w:val="00415694"/>
    <w:rsid w:val="00420794"/>
    <w:rsid w:val="00421935"/>
    <w:rsid w:val="004233C6"/>
    <w:rsid w:val="00430FAE"/>
    <w:rsid w:val="00431CB8"/>
    <w:rsid w:val="00432D25"/>
    <w:rsid w:val="00433D9F"/>
    <w:rsid w:val="004351FC"/>
    <w:rsid w:val="00435614"/>
    <w:rsid w:val="00436708"/>
    <w:rsid w:val="00444D1E"/>
    <w:rsid w:val="0044549A"/>
    <w:rsid w:val="0044575A"/>
    <w:rsid w:val="00445BF0"/>
    <w:rsid w:val="00451479"/>
    <w:rsid w:val="0045171B"/>
    <w:rsid w:val="004544CD"/>
    <w:rsid w:val="00455969"/>
    <w:rsid w:val="00460F22"/>
    <w:rsid w:val="00461180"/>
    <w:rsid w:val="0046784D"/>
    <w:rsid w:val="00474D7D"/>
    <w:rsid w:val="00475665"/>
    <w:rsid w:val="00476514"/>
    <w:rsid w:val="00476B24"/>
    <w:rsid w:val="004802E1"/>
    <w:rsid w:val="00483602"/>
    <w:rsid w:val="004856AA"/>
    <w:rsid w:val="004863E1"/>
    <w:rsid w:val="00486ACE"/>
    <w:rsid w:val="00486F2D"/>
    <w:rsid w:val="00487515"/>
    <w:rsid w:val="00487B82"/>
    <w:rsid w:val="004917B7"/>
    <w:rsid w:val="004919EC"/>
    <w:rsid w:val="00492A37"/>
    <w:rsid w:val="00493660"/>
    <w:rsid w:val="0049408B"/>
    <w:rsid w:val="00497C61"/>
    <w:rsid w:val="004A023B"/>
    <w:rsid w:val="004A4565"/>
    <w:rsid w:val="004A607C"/>
    <w:rsid w:val="004B13A1"/>
    <w:rsid w:val="004B3749"/>
    <w:rsid w:val="004B3A9E"/>
    <w:rsid w:val="004B570B"/>
    <w:rsid w:val="004B5F54"/>
    <w:rsid w:val="004B7317"/>
    <w:rsid w:val="004C0DB7"/>
    <w:rsid w:val="004C3C50"/>
    <w:rsid w:val="004C5950"/>
    <w:rsid w:val="004D0FA7"/>
    <w:rsid w:val="004D1728"/>
    <w:rsid w:val="004D2A3B"/>
    <w:rsid w:val="004D2A3E"/>
    <w:rsid w:val="004D3669"/>
    <w:rsid w:val="004D3964"/>
    <w:rsid w:val="004D430E"/>
    <w:rsid w:val="004D557F"/>
    <w:rsid w:val="004D72C6"/>
    <w:rsid w:val="004D7B04"/>
    <w:rsid w:val="004E0086"/>
    <w:rsid w:val="004E1661"/>
    <w:rsid w:val="004E25A1"/>
    <w:rsid w:val="004E3204"/>
    <w:rsid w:val="004E4400"/>
    <w:rsid w:val="004E4A54"/>
    <w:rsid w:val="004E5CE7"/>
    <w:rsid w:val="004E721E"/>
    <w:rsid w:val="004E7AB5"/>
    <w:rsid w:val="004F0E3F"/>
    <w:rsid w:val="004F2325"/>
    <w:rsid w:val="004F4716"/>
    <w:rsid w:val="005000BC"/>
    <w:rsid w:val="00500606"/>
    <w:rsid w:val="00500889"/>
    <w:rsid w:val="00501BD6"/>
    <w:rsid w:val="00505E8B"/>
    <w:rsid w:val="00506348"/>
    <w:rsid w:val="0050678B"/>
    <w:rsid w:val="00510E43"/>
    <w:rsid w:val="00513B5C"/>
    <w:rsid w:val="00514928"/>
    <w:rsid w:val="005207CD"/>
    <w:rsid w:val="0052189A"/>
    <w:rsid w:val="00525286"/>
    <w:rsid w:val="00525FC7"/>
    <w:rsid w:val="00533ADF"/>
    <w:rsid w:val="00534E64"/>
    <w:rsid w:val="00537755"/>
    <w:rsid w:val="00541817"/>
    <w:rsid w:val="005467FB"/>
    <w:rsid w:val="00546B2D"/>
    <w:rsid w:val="00546F1C"/>
    <w:rsid w:val="00547BC8"/>
    <w:rsid w:val="00547BD4"/>
    <w:rsid w:val="00550DD4"/>
    <w:rsid w:val="005520F5"/>
    <w:rsid w:val="005558BC"/>
    <w:rsid w:val="00556474"/>
    <w:rsid w:val="00556AC2"/>
    <w:rsid w:val="005609C7"/>
    <w:rsid w:val="00567EBF"/>
    <w:rsid w:val="00570434"/>
    <w:rsid w:val="0057055E"/>
    <w:rsid w:val="00572BFA"/>
    <w:rsid w:val="00573A1B"/>
    <w:rsid w:val="00574773"/>
    <w:rsid w:val="00574C1F"/>
    <w:rsid w:val="005765C2"/>
    <w:rsid w:val="00577C8E"/>
    <w:rsid w:val="00577E2A"/>
    <w:rsid w:val="00580061"/>
    <w:rsid w:val="005803C8"/>
    <w:rsid w:val="005810FE"/>
    <w:rsid w:val="00583F99"/>
    <w:rsid w:val="00584158"/>
    <w:rsid w:val="00585110"/>
    <w:rsid w:val="0058566C"/>
    <w:rsid w:val="00587041"/>
    <w:rsid w:val="005906B8"/>
    <w:rsid w:val="00591927"/>
    <w:rsid w:val="00594ED6"/>
    <w:rsid w:val="005958EA"/>
    <w:rsid w:val="00595DE7"/>
    <w:rsid w:val="005960B8"/>
    <w:rsid w:val="005A0E2B"/>
    <w:rsid w:val="005A2075"/>
    <w:rsid w:val="005A218F"/>
    <w:rsid w:val="005B0B87"/>
    <w:rsid w:val="005B2BB8"/>
    <w:rsid w:val="005B424C"/>
    <w:rsid w:val="005B5F0B"/>
    <w:rsid w:val="005B6294"/>
    <w:rsid w:val="005B6EEF"/>
    <w:rsid w:val="005B6F5A"/>
    <w:rsid w:val="005B7FDB"/>
    <w:rsid w:val="005C1445"/>
    <w:rsid w:val="005C16DC"/>
    <w:rsid w:val="005C16E4"/>
    <w:rsid w:val="005C1ECB"/>
    <w:rsid w:val="005C62F0"/>
    <w:rsid w:val="005C675E"/>
    <w:rsid w:val="005D4C1C"/>
    <w:rsid w:val="005D4C87"/>
    <w:rsid w:val="005D664E"/>
    <w:rsid w:val="005D6BB5"/>
    <w:rsid w:val="005D7F92"/>
    <w:rsid w:val="005E065B"/>
    <w:rsid w:val="005E1ABA"/>
    <w:rsid w:val="005E1E95"/>
    <w:rsid w:val="005E2216"/>
    <w:rsid w:val="005E2635"/>
    <w:rsid w:val="005E2933"/>
    <w:rsid w:val="005E3A68"/>
    <w:rsid w:val="005E5146"/>
    <w:rsid w:val="005E64E6"/>
    <w:rsid w:val="005E65C5"/>
    <w:rsid w:val="005E6B94"/>
    <w:rsid w:val="005E7EF7"/>
    <w:rsid w:val="005F10C3"/>
    <w:rsid w:val="005F3C22"/>
    <w:rsid w:val="005F4E5C"/>
    <w:rsid w:val="005F7B2C"/>
    <w:rsid w:val="005F7CEB"/>
    <w:rsid w:val="006007EE"/>
    <w:rsid w:val="006058C8"/>
    <w:rsid w:val="00605D81"/>
    <w:rsid w:val="0060616C"/>
    <w:rsid w:val="0061216D"/>
    <w:rsid w:val="00614813"/>
    <w:rsid w:val="00614AB8"/>
    <w:rsid w:val="00615263"/>
    <w:rsid w:val="006153BF"/>
    <w:rsid w:val="0061725A"/>
    <w:rsid w:val="0062077B"/>
    <w:rsid w:val="00623533"/>
    <w:rsid w:val="00624732"/>
    <w:rsid w:val="00630265"/>
    <w:rsid w:val="00630465"/>
    <w:rsid w:val="006309B4"/>
    <w:rsid w:val="00630A20"/>
    <w:rsid w:val="00634E88"/>
    <w:rsid w:val="00635BED"/>
    <w:rsid w:val="00635D84"/>
    <w:rsid w:val="006361DE"/>
    <w:rsid w:val="00636ABC"/>
    <w:rsid w:val="006436B7"/>
    <w:rsid w:val="006439F3"/>
    <w:rsid w:val="00646066"/>
    <w:rsid w:val="00646E98"/>
    <w:rsid w:val="00647518"/>
    <w:rsid w:val="00651DA6"/>
    <w:rsid w:val="00653634"/>
    <w:rsid w:val="00654D85"/>
    <w:rsid w:val="006560D0"/>
    <w:rsid w:val="0065616E"/>
    <w:rsid w:val="006609A9"/>
    <w:rsid w:val="00663EA6"/>
    <w:rsid w:val="006650A7"/>
    <w:rsid w:val="00666F39"/>
    <w:rsid w:val="0067002A"/>
    <w:rsid w:val="006701D2"/>
    <w:rsid w:val="00673887"/>
    <w:rsid w:val="00676F86"/>
    <w:rsid w:val="006816BC"/>
    <w:rsid w:val="006817CD"/>
    <w:rsid w:val="00681979"/>
    <w:rsid w:val="006832D5"/>
    <w:rsid w:val="0068470E"/>
    <w:rsid w:val="00685806"/>
    <w:rsid w:val="0068755F"/>
    <w:rsid w:val="00691509"/>
    <w:rsid w:val="00691556"/>
    <w:rsid w:val="00691ED7"/>
    <w:rsid w:val="006938AC"/>
    <w:rsid w:val="006964AA"/>
    <w:rsid w:val="006A18D8"/>
    <w:rsid w:val="006A43CE"/>
    <w:rsid w:val="006A43D2"/>
    <w:rsid w:val="006A4A5F"/>
    <w:rsid w:val="006A55F7"/>
    <w:rsid w:val="006A5C8A"/>
    <w:rsid w:val="006A6FAF"/>
    <w:rsid w:val="006B11D1"/>
    <w:rsid w:val="006B20EB"/>
    <w:rsid w:val="006B372E"/>
    <w:rsid w:val="006B459C"/>
    <w:rsid w:val="006B532E"/>
    <w:rsid w:val="006B5A6A"/>
    <w:rsid w:val="006B6B69"/>
    <w:rsid w:val="006C0599"/>
    <w:rsid w:val="006C3428"/>
    <w:rsid w:val="006C6623"/>
    <w:rsid w:val="006C7627"/>
    <w:rsid w:val="006C7763"/>
    <w:rsid w:val="006D1EB9"/>
    <w:rsid w:val="006D2712"/>
    <w:rsid w:val="006D366B"/>
    <w:rsid w:val="006D39BB"/>
    <w:rsid w:val="006D42BD"/>
    <w:rsid w:val="006D6258"/>
    <w:rsid w:val="006D6A7B"/>
    <w:rsid w:val="006E1E9F"/>
    <w:rsid w:val="006E2AB6"/>
    <w:rsid w:val="006E2AF2"/>
    <w:rsid w:val="006E2FC8"/>
    <w:rsid w:val="006E3084"/>
    <w:rsid w:val="006E4E06"/>
    <w:rsid w:val="006E58DC"/>
    <w:rsid w:val="006F04BB"/>
    <w:rsid w:val="006F2FF7"/>
    <w:rsid w:val="006F54AB"/>
    <w:rsid w:val="006F647B"/>
    <w:rsid w:val="00700449"/>
    <w:rsid w:val="00700574"/>
    <w:rsid w:val="007040D9"/>
    <w:rsid w:val="00705069"/>
    <w:rsid w:val="0070510C"/>
    <w:rsid w:val="00705C66"/>
    <w:rsid w:val="00705FD1"/>
    <w:rsid w:val="00713892"/>
    <w:rsid w:val="00714BAA"/>
    <w:rsid w:val="00714CA2"/>
    <w:rsid w:val="0071507E"/>
    <w:rsid w:val="00715942"/>
    <w:rsid w:val="007170FA"/>
    <w:rsid w:val="007172B9"/>
    <w:rsid w:val="00720040"/>
    <w:rsid w:val="00722FFD"/>
    <w:rsid w:val="00724772"/>
    <w:rsid w:val="00724C8E"/>
    <w:rsid w:val="00725A6E"/>
    <w:rsid w:val="00725DC6"/>
    <w:rsid w:val="00726880"/>
    <w:rsid w:val="00730EDF"/>
    <w:rsid w:val="0073101C"/>
    <w:rsid w:val="00731ABF"/>
    <w:rsid w:val="007343FB"/>
    <w:rsid w:val="00734DCF"/>
    <w:rsid w:val="00736A29"/>
    <w:rsid w:val="00741B5B"/>
    <w:rsid w:val="00742615"/>
    <w:rsid w:val="00742F52"/>
    <w:rsid w:val="007455B2"/>
    <w:rsid w:val="00746490"/>
    <w:rsid w:val="00747781"/>
    <w:rsid w:val="00750474"/>
    <w:rsid w:val="007519F2"/>
    <w:rsid w:val="0075443D"/>
    <w:rsid w:val="007551AE"/>
    <w:rsid w:val="00755859"/>
    <w:rsid w:val="00755B27"/>
    <w:rsid w:val="007566A2"/>
    <w:rsid w:val="00757BAC"/>
    <w:rsid w:val="0076000E"/>
    <w:rsid w:val="007601FC"/>
    <w:rsid w:val="007614C5"/>
    <w:rsid w:val="007634E4"/>
    <w:rsid w:val="007658F1"/>
    <w:rsid w:val="00767A24"/>
    <w:rsid w:val="007703E6"/>
    <w:rsid w:val="00770ED8"/>
    <w:rsid w:val="00773270"/>
    <w:rsid w:val="0077346C"/>
    <w:rsid w:val="00773E47"/>
    <w:rsid w:val="00774494"/>
    <w:rsid w:val="00774B54"/>
    <w:rsid w:val="00774BA7"/>
    <w:rsid w:val="00777FF9"/>
    <w:rsid w:val="00780327"/>
    <w:rsid w:val="00781678"/>
    <w:rsid w:val="00781790"/>
    <w:rsid w:val="007824F8"/>
    <w:rsid w:val="00782DE6"/>
    <w:rsid w:val="00783F79"/>
    <w:rsid w:val="00784E6E"/>
    <w:rsid w:val="007852FF"/>
    <w:rsid w:val="0079182A"/>
    <w:rsid w:val="00792EB8"/>
    <w:rsid w:val="00793DAB"/>
    <w:rsid w:val="00795381"/>
    <w:rsid w:val="00795471"/>
    <w:rsid w:val="0079598B"/>
    <w:rsid w:val="00795E4C"/>
    <w:rsid w:val="007A0093"/>
    <w:rsid w:val="007A0E62"/>
    <w:rsid w:val="007A1448"/>
    <w:rsid w:val="007A1664"/>
    <w:rsid w:val="007A28CC"/>
    <w:rsid w:val="007A31A2"/>
    <w:rsid w:val="007A5A2E"/>
    <w:rsid w:val="007A5FA3"/>
    <w:rsid w:val="007A626E"/>
    <w:rsid w:val="007A66F5"/>
    <w:rsid w:val="007A7141"/>
    <w:rsid w:val="007B18B1"/>
    <w:rsid w:val="007B2A5D"/>
    <w:rsid w:val="007B39FB"/>
    <w:rsid w:val="007B3A6B"/>
    <w:rsid w:val="007B62FC"/>
    <w:rsid w:val="007B6E08"/>
    <w:rsid w:val="007C48AE"/>
    <w:rsid w:val="007D00E0"/>
    <w:rsid w:val="007D155F"/>
    <w:rsid w:val="007D193C"/>
    <w:rsid w:val="007D203A"/>
    <w:rsid w:val="007D2F3B"/>
    <w:rsid w:val="007D45BA"/>
    <w:rsid w:val="007E266C"/>
    <w:rsid w:val="007E2B7D"/>
    <w:rsid w:val="007E2BAC"/>
    <w:rsid w:val="007E5129"/>
    <w:rsid w:val="007E5BE6"/>
    <w:rsid w:val="007F1BD1"/>
    <w:rsid w:val="007F3A30"/>
    <w:rsid w:val="0080022A"/>
    <w:rsid w:val="008010E0"/>
    <w:rsid w:val="00802257"/>
    <w:rsid w:val="00802E9A"/>
    <w:rsid w:val="00802F26"/>
    <w:rsid w:val="0080638C"/>
    <w:rsid w:val="00812002"/>
    <w:rsid w:val="00813BB4"/>
    <w:rsid w:val="00813D46"/>
    <w:rsid w:val="0081414A"/>
    <w:rsid w:val="00815DFF"/>
    <w:rsid w:val="0081716D"/>
    <w:rsid w:val="00817F0A"/>
    <w:rsid w:val="00823922"/>
    <w:rsid w:val="00823C6A"/>
    <w:rsid w:val="00823D20"/>
    <w:rsid w:val="0082439E"/>
    <w:rsid w:val="00825C29"/>
    <w:rsid w:val="00825CAA"/>
    <w:rsid w:val="00830EC1"/>
    <w:rsid w:val="00831AB1"/>
    <w:rsid w:val="00833A48"/>
    <w:rsid w:val="008342DA"/>
    <w:rsid w:val="008367DF"/>
    <w:rsid w:val="00840BE0"/>
    <w:rsid w:val="008415C4"/>
    <w:rsid w:val="008416E7"/>
    <w:rsid w:val="00843975"/>
    <w:rsid w:val="0084560B"/>
    <w:rsid w:val="00845D16"/>
    <w:rsid w:val="00846C6C"/>
    <w:rsid w:val="008476D1"/>
    <w:rsid w:val="00850DC3"/>
    <w:rsid w:val="00851E88"/>
    <w:rsid w:val="0085358A"/>
    <w:rsid w:val="0085369E"/>
    <w:rsid w:val="00853F14"/>
    <w:rsid w:val="00854330"/>
    <w:rsid w:val="00854B5C"/>
    <w:rsid w:val="0085568D"/>
    <w:rsid w:val="0085595B"/>
    <w:rsid w:val="00855F92"/>
    <w:rsid w:val="0085601E"/>
    <w:rsid w:val="00857E68"/>
    <w:rsid w:val="0086073A"/>
    <w:rsid w:val="008616E5"/>
    <w:rsid w:val="00861935"/>
    <w:rsid w:val="00862723"/>
    <w:rsid w:val="0086367C"/>
    <w:rsid w:val="00864430"/>
    <w:rsid w:val="00865EF4"/>
    <w:rsid w:val="0086776E"/>
    <w:rsid w:val="00872C9C"/>
    <w:rsid w:val="00872CAA"/>
    <w:rsid w:val="00873BBD"/>
    <w:rsid w:val="0087468E"/>
    <w:rsid w:val="0088094A"/>
    <w:rsid w:val="00881F44"/>
    <w:rsid w:val="008829DB"/>
    <w:rsid w:val="0088519D"/>
    <w:rsid w:val="0088590C"/>
    <w:rsid w:val="00885D71"/>
    <w:rsid w:val="00886B31"/>
    <w:rsid w:val="00895728"/>
    <w:rsid w:val="008965AC"/>
    <w:rsid w:val="00897F83"/>
    <w:rsid w:val="008A1085"/>
    <w:rsid w:val="008A177E"/>
    <w:rsid w:val="008A2606"/>
    <w:rsid w:val="008A32BE"/>
    <w:rsid w:val="008B090B"/>
    <w:rsid w:val="008B1868"/>
    <w:rsid w:val="008B1EBF"/>
    <w:rsid w:val="008B292F"/>
    <w:rsid w:val="008B3CD6"/>
    <w:rsid w:val="008B3D9D"/>
    <w:rsid w:val="008B4736"/>
    <w:rsid w:val="008B5792"/>
    <w:rsid w:val="008C0E0A"/>
    <w:rsid w:val="008C2CFA"/>
    <w:rsid w:val="008C35EA"/>
    <w:rsid w:val="008C3803"/>
    <w:rsid w:val="008C4322"/>
    <w:rsid w:val="008C4DE0"/>
    <w:rsid w:val="008C68BC"/>
    <w:rsid w:val="008D0955"/>
    <w:rsid w:val="008D10C3"/>
    <w:rsid w:val="008D3089"/>
    <w:rsid w:val="008D36FE"/>
    <w:rsid w:val="008D483E"/>
    <w:rsid w:val="008D5D35"/>
    <w:rsid w:val="008D62DB"/>
    <w:rsid w:val="008E081A"/>
    <w:rsid w:val="008E0C7E"/>
    <w:rsid w:val="008E1ED2"/>
    <w:rsid w:val="008E1F1B"/>
    <w:rsid w:val="008E2D24"/>
    <w:rsid w:val="008E411C"/>
    <w:rsid w:val="008E5A23"/>
    <w:rsid w:val="008E6CA7"/>
    <w:rsid w:val="008E77F9"/>
    <w:rsid w:val="008F213A"/>
    <w:rsid w:val="008F2587"/>
    <w:rsid w:val="008F3B2B"/>
    <w:rsid w:val="008F4357"/>
    <w:rsid w:val="008F50F4"/>
    <w:rsid w:val="009014AD"/>
    <w:rsid w:val="00902C66"/>
    <w:rsid w:val="00902FC8"/>
    <w:rsid w:val="00905623"/>
    <w:rsid w:val="00905F37"/>
    <w:rsid w:val="00906E2A"/>
    <w:rsid w:val="0091123C"/>
    <w:rsid w:val="0091263E"/>
    <w:rsid w:val="00912AFC"/>
    <w:rsid w:val="00913372"/>
    <w:rsid w:val="00914312"/>
    <w:rsid w:val="00920B9A"/>
    <w:rsid w:val="009223BA"/>
    <w:rsid w:val="00923920"/>
    <w:rsid w:val="00923CFF"/>
    <w:rsid w:val="00924B8F"/>
    <w:rsid w:val="00926E54"/>
    <w:rsid w:val="00932F68"/>
    <w:rsid w:val="00933495"/>
    <w:rsid w:val="00935F3A"/>
    <w:rsid w:val="009406A5"/>
    <w:rsid w:val="00941A89"/>
    <w:rsid w:val="0094266D"/>
    <w:rsid w:val="00942C66"/>
    <w:rsid w:val="00943D32"/>
    <w:rsid w:val="00944F2F"/>
    <w:rsid w:val="009456EB"/>
    <w:rsid w:val="00950C02"/>
    <w:rsid w:val="00953055"/>
    <w:rsid w:val="009534B3"/>
    <w:rsid w:val="0095365A"/>
    <w:rsid w:val="0095534D"/>
    <w:rsid w:val="00955E09"/>
    <w:rsid w:val="00963694"/>
    <w:rsid w:val="00963E58"/>
    <w:rsid w:val="00964FD4"/>
    <w:rsid w:val="00965299"/>
    <w:rsid w:val="0097010B"/>
    <w:rsid w:val="009725F2"/>
    <w:rsid w:val="00972EC9"/>
    <w:rsid w:val="00974885"/>
    <w:rsid w:val="00974F93"/>
    <w:rsid w:val="00975054"/>
    <w:rsid w:val="009753BA"/>
    <w:rsid w:val="00975437"/>
    <w:rsid w:val="00975AEC"/>
    <w:rsid w:val="00976482"/>
    <w:rsid w:val="00977906"/>
    <w:rsid w:val="00980C9C"/>
    <w:rsid w:val="00982139"/>
    <w:rsid w:val="00982FB0"/>
    <w:rsid w:val="0098374F"/>
    <w:rsid w:val="0098625E"/>
    <w:rsid w:val="00987ADD"/>
    <w:rsid w:val="00991152"/>
    <w:rsid w:val="00991B7E"/>
    <w:rsid w:val="009926B2"/>
    <w:rsid w:val="00992CC5"/>
    <w:rsid w:val="00993169"/>
    <w:rsid w:val="009A0090"/>
    <w:rsid w:val="009A29A4"/>
    <w:rsid w:val="009A5D20"/>
    <w:rsid w:val="009A64A7"/>
    <w:rsid w:val="009B670A"/>
    <w:rsid w:val="009B769B"/>
    <w:rsid w:val="009C12EF"/>
    <w:rsid w:val="009D2DD7"/>
    <w:rsid w:val="009D38D2"/>
    <w:rsid w:val="009D5011"/>
    <w:rsid w:val="009E0C3C"/>
    <w:rsid w:val="009E0F0E"/>
    <w:rsid w:val="009E12E5"/>
    <w:rsid w:val="009E2245"/>
    <w:rsid w:val="009E3434"/>
    <w:rsid w:val="009E6244"/>
    <w:rsid w:val="009E6BA0"/>
    <w:rsid w:val="009E6CA6"/>
    <w:rsid w:val="009F148E"/>
    <w:rsid w:val="009F192A"/>
    <w:rsid w:val="009F2FB0"/>
    <w:rsid w:val="00A03AE3"/>
    <w:rsid w:val="00A04C14"/>
    <w:rsid w:val="00A06E1B"/>
    <w:rsid w:val="00A07BCE"/>
    <w:rsid w:val="00A101DC"/>
    <w:rsid w:val="00A10B14"/>
    <w:rsid w:val="00A11312"/>
    <w:rsid w:val="00A11DB5"/>
    <w:rsid w:val="00A12D84"/>
    <w:rsid w:val="00A12FCA"/>
    <w:rsid w:val="00A13814"/>
    <w:rsid w:val="00A13E4A"/>
    <w:rsid w:val="00A140D8"/>
    <w:rsid w:val="00A14975"/>
    <w:rsid w:val="00A17129"/>
    <w:rsid w:val="00A211DA"/>
    <w:rsid w:val="00A2268E"/>
    <w:rsid w:val="00A22ACE"/>
    <w:rsid w:val="00A22B73"/>
    <w:rsid w:val="00A24AC5"/>
    <w:rsid w:val="00A253ED"/>
    <w:rsid w:val="00A27D13"/>
    <w:rsid w:val="00A30B1A"/>
    <w:rsid w:val="00A3141A"/>
    <w:rsid w:val="00A33A99"/>
    <w:rsid w:val="00A343E2"/>
    <w:rsid w:val="00A3544D"/>
    <w:rsid w:val="00A3567B"/>
    <w:rsid w:val="00A36D2C"/>
    <w:rsid w:val="00A42646"/>
    <w:rsid w:val="00A42CF9"/>
    <w:rsid w:val="00A4374C"/>
    <w:rsid w:val="00A43948"/>
    <w:rsid w:val="00A45267"/>
    <w:rsid w:val="00A45752"/>
    <w:rsid w:val="00A46237"/>
    <w:rsid w:val="00A46B33"/>
    <w:rsid w:val="00A46ECD"/>
    <w:rsid w:val="00A46F92"/>
    <w:rsid w:val="00A4760F"/>
    <w:rsid w:val="00A47BD1"/>
    <w:rsid w:val="00A47D01"/>
    <w:rsid w:val="00A52C8B"/>
    <w:rsid w:val="00A53F17"/>
    <w:rsid w:val="00A54BBA"/>
    <w:rsid w:val="00A571AF"/>
    <w:rsid w:val="00A6086D"/>
    <w:rsid w:val="00A608E6"/>
    <w:rsid w:val="00A61CE7"/>
    <w:rsid w:val="00A62320"/>
    <w:rsid w:val="00A63468"/>
    <w:rsid w:val="00A6489C"/>
    <w:rsid w:val="00A64A50"/>
    <w:rsid w:val="00A64F9C"/>
    <w:rsid w:val="00A658FB"/>
    <w:rsid w:val="00A66C0E"/>
    <w:rsid w:val="00A67DBF"/>
    <w:rsid w:val="00A71495"/>
    <w:rsid w:val="00A719A6"/>
    <w:rsid w:val="00A72981"/>
    <w:rsid w:val="00A74BBE"/>
    <w:rsid w:val="00A76061"/>
    <w:rsid w:val="00A7732B"/>
    <w:rsid w:val="00A80C2B"/>
    <w:rsid w:val="00A810E8"/>
    <w:rsid w:val="00A81199"/>
    <w:rsid w:val="00A8252D"/>
    <w:rsid w:val="00A8374A"/>
    <w:rsid w:val="00A85E84"/>
    <w:rsid w:val="00A87648"/>
    <w:rsid w:val="00A921AD"/>
    <w:rsid w:val="00A922F2"/>
    <w:rsid w:val="00A927D5"/>
    <w:rsid w:val="00A93696"/>
    <w:rsid w:val="00A9537A"/>
    <w:rsid w:val="00A96870"/>
    <w:rsid w:val="00A97548"/>
    <w:rsid w:val="00AA4ECB"/>
    <w:rsid w:val="00AA672C"/>
    <w:rsid w:val="00AA6F5C"/>
    <w:rsid w:val="00AB0319"/>
    <w:rsid w:val="00AB23B1"/>
    <w:rsid w:val="00AB2460"/>
    <w:rsid w:val="00AB2A5B"/>
    <w:rsid w:val="00AB33E5"/>
    <w:rsid w:val="00AB3AA4"/>
    <w:rsid w:val="00AB4095"/>
    <w:rsid w:val="00AB4540"/>
    <w:rsid w:val="00AB4945"/>
    <w:rsid w:val="00AB692F"/>
    <w:rsid w:val="00AC1128"/>
    <w:rsid w:val="00AC2722"/>
    <w:rsid w:val="00AC289D"/>
    <w:rsid w:val="00AC3080"/>
    <w:rsid w:val="00AC63E6"/>
    <w:rsid w:val="00AC6A2B"/>
    <w:rsid w:val="00AC76B9"/>
    <w:rsid w:val="00AD0B87"/>
    <w:rsid w:val="00AD27A6"/>
    <w:rsid w:val="00AD4E5E"/>
    <w:rsid w:val="00AD540F"/>
    <w:rsid w:val="00AD5AAA"/>
    <w:rsid w:val="00AD5EBC"/>
    <w:rsid w:val="00AD69E8"/>
    <w:rsid w:val="00AE1C04"/>
    <w:rsid w:val="00AE2945"/>
    <w:rsid w:val="00AE33EC"/>
    <w:rsid w:val="00AE35AB"/>
    <w:rsid w:val="00AE3E3F"/>
    <w:rsid w:val="00AE71FF"/>
    <w:rsid w:val="00AE786B"/>
    <w:rsid w:val="00AF1A4A"/>
    <w:rsid w:val="00AF1AE6"/>
    <w:rsid w:val="00AF5B86"/>
    <w:rsid w:val="00AF5C2E"/>
    <w:rsid w:val="00AF5C7C"/>
    <w:rsid w:val="00AF6CE4"/>
    <w:rsid w:val="00AF747A"/>
    <w:rsid w:val="00B01C24"/>
    <w:rsid w:val="00B02D3D"/>
    <w:rsid w:val="00B058D9"/>
    <w:rsid w:val="00B06BD2"/>
    <w:rsid w:val="00B06C9F"/>
    <w:rsid w:val="00B07DF0"/>
    <w:rsid w:val="00B1124B"/>
    <w:rsid w:val="00B11FDE"/>
    <w:rsid w:val="00B123F6"/>
    <w:rsid w:val="00B14A3F"/>
    <w:rsid w:val="00B15929"/>
    <w:rsid w:val="00B219F2"/>
    <w:rsid w:val="00B2222E"/>
    <w:rsid w:val="00B22BA5"/>
    <w:rsid w:val="00B22EEC"/>
    <w:rsid w:val="00B2562A"/>
    <w:rsid w:val="00B27EB5"/>
    <w:rsid w:val="00B3127F"/>
    <w:rsid w:val="00B32F72"/>
    <w:rsid w:val="00B3329D"/>
    <w:rsid w:val="00B34001"/>
    <w:rsid w:val="00B3755E"/>
    <w:rsid w:val="00B37C51"/>
    <w:rsid w:val="00B411CE"/>
    <w:rsid w:val="00B45E51"/>
    <w:rsid w:val="00B46A4D"/>
    <w:rsid w:val="00B52385"/>
    <w:rsid w:val="00B567E1"/>
    <w:rsid w:val="00B61F35"/>
    <w:rsid w:val="00B63EF7"/>
    <w:rsid w:val="00B67CA6"/>
    <w:rsid w:val="00B67DA2"/>
    <w:rsid w:val="00B71946"/>
    <w:rsid w:val="00B76783"/>
    <w:rsid w:val="00B807F8"/>
    <w:rsid w:val="00B81289"/>
    <w:rsid w:val="00B82457"/>
    <w:rsid w:val="00B825A4"/>
    <w:rsid w:val="00B8272B"/>
    <w:rsid w:val="00B82DD8"/>
    <w:rsid w:val="00B83438"/>
    <w:rsid w:val="00B84452"/>
    <w:rsid w:val="00B856A9"/>
    <w:rsid w:val="00B86131"/>
    <w:rsid w:val="00B86F77"/>
    <w:rsid w:val="00B86FD6"/>
    <w:rsid w:val="00B870BE"/>
    <w:rsid w:val="00B92459"/>
    <w:rsid w:val="00B939E1"/>
    <w:rsid w:val="00B9426A"/>
    <w:rsid w:val="00B96976"/>
    <w:rsid w:val="00B971BA"/>
    <w:rsid w:val="00BA04CE"/>
    <w:rsid w:val="00BA0EC6"/>
    <w:rsid w:val="00BA0FA9"/>
    <w:rsid w:val="00BA2203"/>
    <w:rsid w:val="00BA28A2"/>
    <w:rsid w:val="00BA73C2"/>
    <w:rsid w:val="00BB154D"/>
    <w:rsid w:val="00BB2430"/>
    <w:rsid w:val="00BB2971"/>
    <w:rsid w:val="00BB2E19"/>
    <w:rsid w:val="00BB4472"/>
    <w:rsid w:val="00BB580A"/>
    <w:rsid w:val="00BB5DDD"/>
    <w:rsid w:val="00BB6850"/>
    <w:rsid w:val="00BB7204"/>
    <w:rsid w:val="00BC170A"/>
    <w:rsid w:val="00BC1929"/>
    <w:rsid w:val="00BC318F"/>
    <w:rsid w:val="00BC56BE"/>
    <w:rsid w:val="00BC776B"/>
    <w:rsid w:val="00BD07DD"/>
    <w:rsid w:val="00BD31C9"/>
    <w:rsid w:val="00BD428D"/>
    <w:rsid w:val="00BD5771"/>
    <w:rsid w:val="00BD6F5E"/>
    <w:rsid w:val="00BE0231"/>
    <w:rsid w:val="00BE0C50"/>
    <w:rsid w:val="00BE18D2"/>
    <w:rsid w:val="00BE2125"/>
    <w:rsid w:val="00BE26E4"/>
    <w:rsid w:val="00BE3BB6"/>
    <w:rsid w:val="00BE487F"/>
    <w:rsid w:val="00BE572C"/>
    <w:rsid w:val="00BE7524"/>
    <w:rsid w:val="00BF0904"/>
    <w:rsid w:val="00BF2155"/>
    <w:rsid w:val="00BF2EBB"/>
    <w:rsid w:val="00BF462B"/>
    <w:rsid w:val="00BF6D5C"/>
    <w:rsid w:val="00C0159B"/>
    <w:rsid w:val="00C017AE"/>
    <w:rsid w:val="00C03F5A"/>
    <w:rsid w:val="00C06CB4"/>
    <w:rsid w:val="00C06F25"/>
    <w:rsid w:val="00C100AB"/>
    <w:rsid w:val="00C11582"/>
    <w:rsid w:val="00C12ED3"/>
    <w:rsid w:val="00C16E50"/>
    <w:rsid w:val="00C2105C"/>
    <w:rsid w:val="00C21590"/>
    <w:rsid w:val="00C21855"/>
    <w:rsid w:val="00C227D4"/>
    <w:rsid w:val="00C22891"/>
    <w:rsid w:val="00C22EE8"/>
    <w:rsid w:val="00C252AB"/>
    <w:rsid w:val="00C255A5"/>
    <w:rsid w:val="00C30C88"/>
    <w:rsid w:val="00C31CA5"/>
    <w:rsid w:val="00C331E6"/>
    <w:rsid w:val="00C33ABA"/>
    <w:rsid w:val="00C3538F"/>
    <w:rsid w:val="00C37696"/>
    <w:rsid w:val="00C40CEA"/>
    <w:rsid w:val="00C40DD9"/>
    <w:rsid w:val="00C419DE"/>
    <w:rsid w:val="00C41C60"/>
    <w:rsid w:val="00C420BD"/>
    <w:rsid w:val="00C42D3A"/>
    <w:rsid w:val="00C45C70"/>
    <w:rsid w:val="00C462DA"/>
    <w:rsid w:val="00C475CE"/>
    <w:rsid w:val="00C4768A"/>
    <w:rsid w:val="00C525F3"/>
    <w:rsid w:val="00C52E9B"/>
    <w:rsid w:val="00C544BF"/>
    <w:rsid w:val="00C54BC9"/>
    <w:rsid w:val="00C55DC3"/>
    <w:rsid w:val="00C63060"/>
    <w:rsid w:val="00C63245"/>
    <w:rsid w:val="00C63A80"/>
    <w:rsid w:val="00C64922"/>
    <w:rsid w:val="00C664BC"/>
    <w:rsid w:val="00C70DB3"/>
    <w:rsid w:val="00C70E54"/>
    <w:rsid w:val="00C73F2B"/>
    <w:rsid w:val="00C76227"/>
    <w:rsid w:val="00C76347"/>
    <w:rsid w:val="00C7673F"/>
    <w:rsid w:val="00C77134"/>
    <w:rsid w:val="00C77344"/>
    <w:rsid w:val="00C77B20"/>
    <w:rsid w:val="00C813AC"/>
    <w:rsid w:val="00C81620"/>
    <w:rsid w:val="00C82B9B"/>
    <w:rsid w:val="00C87E07"/>
    <w:rsid w:val="00C907E1"/>
    <w:rsid w:val="00C90A8E"/>
    <w:rsid w:val="00C93F59"/>
    <w:rsid w:val="00C957CD"/>
    <w:rsid w:val="00CB2982"/>
    <w:rsid w:val="00CB353B"/>
    <w:rsid w:val="00CB5869"/>
    <w:rsid w:val="00CB6BF6"/>
    <w:rsid w:val="00CC107C"/>
    <w:rsid w:val="00CC2286"/>
    <w:rsid w:val="00CC22EF"/>
    <w:rsid w:val="00CC4391"/>
    <w:rsid w:val="00CC58CD"/>
    <w:rsid w:val="00CC6B0D"/>
    <w:rsid w:val="00CD14B0"/>
    <w:rsid w:val="00CD25CB"/>
    <w:rsid w:val="00CD3984"/>
    <w:rsid w:val="00CD5033"/>
    <w:rsid w:val="00CD5506"/>
    <w:rsid w:val="00CD5DCE"/>
    <w:rsid w:val="00CD7BA0"/>
    <w:rsid w:val="00CE143A"/>
    <w:rsid w:val="00CE195B"/>
    <w:rsid w:val="00CE347B"/>
    <w:rsid w:val="00CE3B26"/>
    <w:rsid w:val="00CE6DB1"/>
    <w:rsid w:val="00CE6FA7"/>
    <w:rsid w:val="00CE7C30"/>
    <w:rsid w:val="00CF0AC6"/>
    <w:rsid w:val="00CF18FA"/>
    <w:rsid w:val="00CF4276"/>
    <w:rsid w:val="00CF4A4D"/>
    <w:rsid w:val="00CF7A7D"/>
    <w:rsid w:val="00D02324"/>
    <w:rsid w:val="00D028CA"/>
    <w:rsid w:val="00D05ECA"/>
    <w:rsid w:val="00D06C84"/>
    <w:rsid w:val="00D1068D"/>
    <w:rsid w:val="00D11B86"/>
    <w:rsid w:val="00D13E8E"/>
    <w:rsid w:val="00D142A2"/>
    <w:rsid w:val="00D14DC7"/>
    <w:rsid w:val="00D1591F"/>
    <w:rsid w:val="00D16FA8"/>
    <w:rsid w:val="00D16FF0"/>
    <w:rsid w:val="00D178D7"/>
    <w:rsid w:val="00D20947"/>
    <w:rsid w:val="00D217B8"/>
    <w:rsid w:val="00D23E8D"/>
    <w:rsid w:val="00D260E5"/>
    <w:rsid w:val="00D26E25"/>
    <w:rsid w:val="00D333DC"/>
    <w:rsid w:val="00D373CA"/>
    <w:rsid w:val="00D3754D"/>
    <w:rsid w:val="00D41CE6"/>
    <w:rsid w:val="00D41EE5"/>
    <w:rsid w:val="00D45E54"/>
    <w:rsid w:val="00D471A1"/>
    <w:rsid w:val="00D477DF"/>
    <w:rsid w:val="00D5142A"/>
    <w:rsid w:val="00D51CA6"/>
    <w:rsid w:val="00D52661"/>
    <w:rsid w:val="00D55528"/>
    <w:rsid w:val="00D5595A"/>
    <w:rsid w:val="00D57D47"/>
    <w:rsid w:val="00D57EA2"/>
    <w:rsid w:val="00D60559"/>
    <w:rsid w:val="00D624B1"/>
    <w:rsid w:val="00D63D31"/>
    <w:rsid w:val="00D66A4F"/>
    <w:rsid w:val="00D70738"/>
    <w:rsid w:val="00D721CD"/>
    <w:rsid w:val="00D72547"/>
    <w:rsid w:val="00D736F9"/>
    <w:rsid w:val="00D7432C"/>
    <w:rsid w:val="00D74A75"/>
    <w:rsid w:val="00D7516D"/>
    <w:rsid w:val="00D77623"/>
    <w:rsid w:val="00D77814"/>
    <w:rsid w:val="00D77ECF"/>
    <w:rsid w:val="00D801A2"/>
    <w:rsid w:val="00D81E50"/>
    <w:rsid w:val="00D82275"/>
    <w:rsid w:val="00D825F4"/>
    <w:rsid w:val="00D82A2C"/>
    <w:rsid w:val="00D85CE1"/>
    <w:rsid w:val="00D86723"/>
    <w:rsid w:val="00D86CC4"/>
    <w:rsid w:val="00D90260"/>
    <w:rsid w:val="00D9148C"/>
    <w:rsid w:val="00D92328"/>
    <w:rsid w:val="00D92934"/>
    <w:rsid w:val="00D92BD2"/>
    <w:rsid w:val="00D93A7E"/>
    <w:rsid w:val="00D954EC"/>
    <w:rsid w:val="00D97E75"/>
    <w:rsid w:val="00DA1251"/>
    <w:rsid w:val="00DA4F72"/>
    <w:rsid w:val="00DA5F45"/>
    <w:rsid w:val="00DB16BD"/>
    <w:rsid w:val="00DB2C1C"/>
    <w:rsid w:val="00DB3665"/>
    <w:rsid w:val="00DB49E9"/>
    <w:rsid w:val="00DB5247"/>
    <w:rsid w:val="00DB64CF"/>
    <w:rsid w:val="00DB6B20"/>
    <w:rsid w:val="00DB7921"/>
    <w:rsid w:val="00DC1F73"/>
    <w:rsid w:val="00DC26D0"/>
    <w:rsid w:val="00DC319B"/>
    <w:rsid w:val="00DC4631"/>
    <w:rsid w:val="00DC489D"/>
    <w:rsid w:val="00DC4A4C"/>
    <w:rsid w:val="00DC5B0E"/>
    <w:rsid w:val="00DC7987"/>
    <w:rsid w:val="00DC7CDA"/>
    <w:rsid w:val="00DD049C"/>
    <w:rsid w:val="00DD1A72"/>
    <w:rsid w:val="00DD21AB"/>
    <w:rsid w:val="00DD2256"/>
    <w:rsid w:val="00DD3001"/>
    <w:rsid w:val="00DE31CD"/>
    <w:rsid w:val="00DE3A01"/>
    <w:rsid w:val="00DE5221"/>
    <w:rsid w:val="00DE6B32"/>
    <w:rsid w:val="00DF02A0"/>
    <w:rsid w:val="00DF06FF"/>
    <w:rsid w:val="00DF1C60"/>
    <w:rsid w:val="00DF4415"/>
    <w:rsid w:val="00DF5A5D"/>
    <w:rsid w:val="00E012F9"/>
    <w:rsid w:val="00E01C9D"/>
    <w:rsid w:val="00E02ED3"/>
    <w:rsid w:val="00E06294"/>
    <w:rsid w:val="00E10104"/>
    <w:rsid w:val="00E107D4"/>
    <w:rsid w:val="00E11F30"/>
    <w:rsid w:val="00E12BD2"/>
    <w:rsid w:val="00E12F1E"/>
    <w:rsid w:val="00E15644"/>
    <w:rsid w:val="00E15738"/>
    <w:rsid w:val="00E178A3"/>
    <w:rsid w:val="00E200CE"/>
    <w:rsid w:val="00E2236E"/>
    <w:rsid w:val="00E22688"/>
    <w:rsid w:val="00E227C1"/>
    <w:rsid w:val="00E23B7F"/>
    <w:rsid w:val="00E256E0"/>
    <w:rsid w:val="00E2612C"/>
    <w:rsid w:val="00E26BB2"/>
    <w:rsid w:val="00E2735D"/>
    <w:rsid w:val="00E27851"/>
    <w:rsid w:val="00E3161C"/>
    <w:rsid w:val="00E318D7"/>
    <w:rsid w:val="00E319F8"/>
    <w:rsid w:val="00E34008"/>
    <w:rsid w:val="00E36821"/>
    <w:rsid w:val="00E37A12"/>
    <w:rsid w:val="00E40D5A"/>
    <w:rsid w:val="00E40EDE"/>
    <w:rsid w:val="00E41234"/>
    <w:rsid w:val="00E41541"/>
    <w:rsid w:val="00E41EC7"/>
    <w:rsid w:val="00E41F16"/>
    <w:rsid w:val="00E42559"/>
    <w:rsid w:val="00E43659"/>
    <w:rsid w:val="00E4409F"/>
    <w:rsid w:val="00E449CD"/>
    <w:rsid w:val="00E459D0"/>
    <w:rsid w:val="00E47DBA"/>
    <w:rsid w:val="00E53263"/>
    <w:rsid w:val="00E55E26"/>
    <w:rsid w:val="00E56E4B"/>
    <w:rsid w:val="00E62FCE"/>
    <w:rsid w:val="00E64B64"/>
    <w:rsid w:val="00E659CC"/>
    <w:rsid w:val="00E659E7"/>
    <w:rsid w:val="00E67354"/>
    <w:rsid w:val="00E70792"/>
    <w:rsid w:val="00E72FF2"/>
    <w:rsid w:val="00E7308C"/>
    <w:rsid w:val="00E73F54"/>
    <w:rsid w:val="00E74AEA"/>
    <w:rsid w:val="00E75BED"/>
    <w:rsid w:val="00E77D1A"/>
    <w:rsid w:val="00E811B6"/>
    <w:rsid w:val="00E81723"/>
    <w:rsid w:val="00E83B77"/>
    <w:rsid w:val="00E8436F"/>
    <w:rsid w:val="00E85C84"/>
    <w:rsid w:val="00E87299"/>
    <w:rsid w:val="00E9069C"/>
    <w:rsid w:val="00E92AFB"/>
    <w:rsid w:val="00E938F9"/>
    <w:rsid w:val="00E939CA"/>
    <w:rsid w:val="00E93CED"/>
    <w:rsid w:val="00E95B6D"/>
    <w:rsid w:val="00E96891"/>
    <w:rsid w:val="00EA0366"/>
    <w:rsid w:val="00EA0D3D"/>
    <w:rsid w:val="00EA31B4"/>
    <w:rsid w:val="00EA4C8A"/>
    <w:rsid w:val="00EA4FF3"/>
    <w:rsid w:val="00EA5216"/>
    <w:rsid w:val="00EA5D21"/>
    <w:rsid w:val="00EA6905"/>
    <w:rsid w:val="00EA77A4"/>
    <w:rsid w:val="00EB5D3E"/>
    <w:rsid w:val="00EB6213"/>
    <w:rsid w:val="00EB7189"/>
    <w:rsid w:val="00EC0BFE"/>
    <w:rsid w:val="00EC0D50"/>
    <w:rsid w:val="00EC117F"/>
    <w:rsid w:val="00EC279F"/>
    <w:rsid w:val="00EC2EB3"/>
    <w:rsid w:val="00EC353E"/>
    <w:rsid w:val="00EC4092"/>
    <w:rsid w:val="00EC4EEE"/>
    <w:rsid w:val="00EC5842"/>
    <w:rsid w:val="00EC6BB0"/>
    <w:rsid w:val="00EC7C3E"/>
    <w:rsid w:val="00ED00C2"/>
    <w:rsid w:val="00ED020B"/>
    <w:rsid w:val="00ED21B2"/>
    <w:rsid w:val="00ED2F80"/>
    <w:rsid w:val="00ED2F93"/>
    <w:rsid w:val="00ED39F8"/>
    <w:rsid w:val="00ED4631"/>
    <w:rsid w:val="00ED598A"/>
    <w:rsid w:val="00ED72F6"/>
    <w:rsid w:val="00EE0A1A"/>
    <w:rsid w:val="00EE543E"/>
    <w:rsid w:val="00EE578C"/>
    <w:rsid w:val="00EE6254"/>
    <w:rsid w:val="00EE68F9"/>
    <w:rsid w:val="00EF4026"/>
    <w:rsid w:val="00EF418E"/>
    <w:rsid w:val="00EF6EFE"/>
    <w:rsid w:val="00F01C68"/>
    <w:rsid w:val="00F0220A"/>
    <w:rsid w:val="00F035CA"/>
    <w:rsid w:val="00F06BBF"/>
    <w:rsid w:val="00F112BA"/>
    <w:rsid w:val="00F118B9"/>
    <w:rsid w:val="00F11C1F"/>
    <w:rsid w:val="00F12F1B"/>
    <w:rsid w:val="00F14E9B"/>
    <w:rsid w:val="00F15D17"/>
    <w:rsid w:val="00F172A2"/>
    <w:rsid w:val="00F236A1"/>
    <w:rsid w:val="00F24BC2"/>
    <w:rsid w:val="00F260B0"/>
    <w:rsid w:val="00F3018E"/>
    <w:rsid w:val="00F316BF"/>
    <w:rsid w:val="00F317A1"/>
    <w:rsid w:val="00F32375"/>
    <w:rsid w:val="00F33074"/>
    <w:rsid w:val="00F33EBF"/>
    <w:rsid w:val="00F3427A"/>
    <w:rsid w:val="00F36ACF"/>
    <w:rsid w:val="00F40678"/>
    <w:rsid w:val="00F43299"/>
    <w:rsid w:val="00F46DAB"/>
    <w:rsid w:val="00F50457"/>
    <w:rsid w:val="00F505BE"/>
    <w:rsid w:val="00F509FE"/>
    <w:rsid w:val="00F5303B"/>
    <w:rsid w:val="00F53152"/>
    <w:rsid w:val="00F54749"/>
    <w:rsid w:val="00F55733"/>
    <w:rsid w:val="00F61C98"/>
    <w:rsid w:val="00F623C9"/>
    <w:rsid w:val="00F63AC8"/>
    <w:rsid w:val="00F63AEF"/>
    <w:rsid w:val="00F63B66"/>
    <w:rsid w:val="00F63BF6"/>
    <w:rsid w:val="00F64396"/>
    <w:rsid w:val="00F65656"/>
    <w:rsid w:val="00F65C5E"/>
    <w:rsid w:val="00F65FC4"/>
    <w:rsid w:val="00F662FB"/>
    <w:rsid w:val="00F6637F"/>
    <w:rsid w:val="00F67654"/>
    <w:rsid w:val="00F71185"/>
    <w:rsid w:val="00F759CF"/>
    <w:rsid w:val="00F76E2E"/>
    <w:rsid w:val="00F801A2"/>
    <w:rsid w:val="00F82023"/>
    <w:rsid w:val="00F840FB"/>
    <w:rsid w:val="00F878BA"/>
    <w:rsid w:val="00F93EA4"/>
    <w:rsid w:val="00F94FD5"/>
    <w:rsid w:val="00F958CB"/>
    <w:rsid w:val="00F963CE"/>
    <w:rsid w:val="00F96D81"/>
    <w:rsid w:val="00FA399F"/>
    <w:rsid w:val="00FA445E"/>
    <w:rsid w:val="00FA6A53"/>
    <w:rsid w:val="00FA703D"/>
    <w:rsid w:val="00FA7990"/>
    <w:rsid w:val="00FA7FC5"/>
    <w:rsid w:val="00FB0635"/>
    <w:rsid w:val="00FB17EC"/>
    <w:rsid w:val="00FB5F9F"/>
    <w:rsid w:val="00FC1D19"/>
    <w:rsid w:val="00FC344C"/>
    <w:rsid w:val="00FC4B15"/>
    <w:rsid w:val="00FC598E"/>
    <w:rsid w:val="00FC5C93"/>
    <w:rsid w:val="00FC6B59"/>
    <w:rsid w:val="00FC7E53"/>
    <w:rsid w:val="00FC7F94"/>
    <w:rsid w:val="00FD007F"/>
    <w:rsid w:val="00FD00B0"/>
    <w:rsid w:val="00FD183D"/>
    <w:rsid w:val="00FD1B61"/>
    <w:rsid w:val="00FD1EAB"/>
    <w:rsid w:val="00FD35AA"/>
    <w:rsid w:val="00FD560E"/>
    <w:rsid w:val="00FE0A8D"/>
    <w:rsid w:val="00FE2A13"/>
    <w:rsid w:val="00FE5BD5"/>
    <w:rsid w:val="00FF233A"/>
    <w:rsid w:val="00FF4AA7"/>
    <w:rsid w:val="00FF4D7C"/>
    <w:rsid w:val="00FF63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F2D"/>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styleId="1">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
    <w:next w:val="a"/>
    <w:link w:val="10"/>
    <w:qFormat/>
    <w:rsid w:val="004D2A3E"/>
    <w:pPr>
      <w:keepNext/>
      <w:widowControl/>
      <w:suppressAutoHyphens w:val="0"/>
      <w:autoSpaceDN/>
      <w:spacing w:before="240" w:after="60"/>
      <w:textAlignment w:val="auto"/>
      <w:outlineLvl w:val="0"/>
    </w:pPr>
    <w:rPr>
      <w:rFonts w:eastAsia="Times New Roman" w:cs="Times New Roman"/>
      <w:b/>
      <w:bCs/>
      <w:i/>
      <w:kern w:val="32"/>
      <w:sz w:val="40"/>
      <w:szCs w:val="4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1F65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1F65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F6529"/>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2411F2"/>
    <w:rPr>
      <w:rFonts w:ascii="Segoe UI" w:hAnsi="Segoe UI"/>
      <w:sz w:val="18"/>
      <w:szCs w:val="16"/>
    </w:rPr>
  </w:style>
  <w:style w:type="character" w:customStyle="1" w:styleId="a4">
    <w:name w:val="Текст выноски Знак"/>
    <w:basedOn w:val="a0"/>
    <w:link w:val="a3"/>
    <w:uiPriority w:val="99"/>
    <w:semiHidden/>
    <w:rsid w:val="002411F2"/>
    <w:rPr>
      <w:rFonts w:ascii="Segoe UI" w:eastAsia="Arial Unicode MS" w:hAnsi="Segoe UI" w:cs="Mangal"/>
      <w:kern w:val="3"/>
      <w:sz w:val="18"/>
      <w:szCs w:val="16"/>
      <w:lang w:eastAsia="zh-CN" w:bidi="hi-IN"/>
    </w:rPr>
  </w:style>
  <w:style w:type="paragraph" w:styleId="a5">
    <w:name w:val="footnote text"/>
    <w:basedOn w:val="a"/>
    <w:link w:val="a6"/>
    <w:uiPriority w:val="99"/>
    <w:semiHidden/>
    <w:unhideWhenUsed/>
    <w:rsid w:val="003279C6"/>
    <w:rPr>
      <w:sz w:val="20"/>
      <w:szCs w:val="18"/>
    </w:rPr>
  </w:style>
  <w:style w:type="character" w:customStyle="1" w:styleId="a6">
    <w:name w:val="Текст сноски Знак"/>
    <w:basedOn w:val="a0"/>
    <w:link w:val="a5"/>
    <w:uiPriority w:val="99"/>
    <w:semiHidden/>
    <w:rsid w:val="003279C6"/>
    <w:rPr>
      <w:rFonts w:ascii="Times New Roman" w:eastAsia="Arial Unicode MS" w:hAnsi="Times New Roman" w:cs="Mangal"/>
      <w:kern w:val="3"/>
      <w:sz w:val="20"/>
      <w:szCs w:val="18"/>
      <w:lang w:eastAsia="zh-CN" w:bidi="hi-IN"/>
    </w:rPr>
  </w:style>
  <w:style w:type="character" w:styleId="a7">
    <w:name w:val="footnote reference"/>
    <w:aliases w:val="Ссылка на сноску 45"/>
    <w:basedOn w:val="a0"/>
    <w:uiPriority w:val="99"/>
    <w:semiHidden/>
    <w:unhideWhenUsed/>
    <w:rsid w:val="003279C6"/>
    <w:rPr>
      <w:vertAlign w:val="superscript"/>
    </w:rPr>
  </w:style>
  <w:style w:type="paragraph" w:styleId="a8">
    <w:name w:val="header"/>
    <w:basedOn w:val="a"/>
    <w:link w:val="a9"/>
    <w:uiPriority w:val="99"/>
    <w:unhideWhenUsed/>
    <w:rsid w:val="006B372E"/>
    <w:pPr>
      <w:tabs>
        <w:tab w:val="center" w:pos="4677"/>
        <w:tab w:val="right" w:pos="9355"/>
      </w:tabs>
    </w:pPr>
    <w:rPr>
      <w:szCs w:val="21"/>
    </w:rPr>
  </w:style>
  <w:style w:type="character" w:customStyle="1" w:styleId="a9">
    <w:name w:val="Верхний колонтитул Знак"/>
    <w:basedOn w:val="a0"/>
    <w:link w:val="a8"/>
    <w:uiPriority w:val="99"/>
    <w:rsid w:val="006B372E"/>
    <w:rPr>
      <w:rFonts w:ascii="Times New Roman" w:eastAsia="Arial Unicode MS" w:hAnsi="Times New Roman" w:cs="Mangal"/>
      <w:kern w:val="3"/>
      <w:sz w:val="24"/>
      <w:szCs w:val="21"/>
      <w:lang w:eastAsia="zh-CN" w:bidi="hi-IN"/>
    </w:rPr>
  </w:style>
  <w:style w:type="paragraph" w:styleId="aa">
    <w:name w:val="footer"/>
    <w:basedOn w:val="a"/>
    <w:link w:val="ab"/>
    <w:uiPriority w:val="99"/>
    <w:unhideWhenUsed/>
    <w:rsid w:val="006B372E"/>
    <w:pPr>
      <w:tabs>
        <w:tab w:val="center" w:pos="4677"/>
        <w:tab w:val="right" w:pos="9355"/>
      </w:tabs>
    </w:pPr>
    <w:rPr>
      <w:szCs w:val="21"/>
    </w:rPr>
  </w:style>
  <w:style w:type="character" w:customStyle="1" w:styleId="ab">
    <w:name w:val="Нижний колонтитул Знак"/>
    <w:basedOn w:val="a0"/>
    <w:link w:val="aa"/>
    <w:uiPriority w:val="99"/>
    <w:rsid w:val="006B372E"/>
    <w:rPr>
      <w:rFonts w:ascii="Times New Roman" w:eastAsia="Arial Unicode MS" w:hAnsi="Times New Roman" w:cs="Mangal"/>
      <w:kern w:val="3"/>
      <w:sz w:val="24"/>
      <w:szCs w:val="21"/>
      <w:lang w:eastAsia="zh-CN" w:bidi="hi-IN"/>
    </w:rPr>
  </w:style>
  <w:style w:type="paragraph" w:customStyle="1" w:styleId="Textbody">
    <w:name w:val="Text body"/>
    <w:basedOn w:val="a"/>
    <w:rsid w:val="006A6FAF"/>
    <w:pPr>
      <w:spacing w:after="120"/>
    </w:pPr>
  </w:style>
  <w:style w:type="paragraph" w:styleId="ac">
    <w:name w:val="List Paragraph"/>
    <w:basedOn w:val="a"/>
    <w:uiPriority w:val="34"/>
    <w:qFormat/>
    <w:rsid w:val="001F14FC"/>
    <w:pPr>
      <w:ind w:left="720"/>
      <w:contextualSpacing/>
    </w:pPr>
    <w:rPr>
      <w:szCs w:val="21"/>
    </w:rPr>
  </w:style>
  <w:style w:type="paragraph" w:styleId="ad">
    <w:name w:val="Normal (Web)"/>
    <w:aliases w:val="Обычный (Web)"/>
    <w:basedOn w:val="a"/>
    <w:rsid w:val="001A251A"/>
    <w:pPr>
      <w:widowControl/>
      <w:suppressAutoHyphens w:val="0"/>
      <w:autoSpaceDN/>
      <w:spacing w:before="100" w:after="100"/>
      <w:textAlignment w:val="auto"/>
    </w:pPr>
    <w:rPr>
      <w:rFonts w:eastAsia="Times New Roman" w:cs="Times New Roman"/>
      <w:kern w:val="1"/>
      <w:sz w:val="28"/>
      <w:szCs w:val="28"/>
      <w:lang w:bidi="ar-SA"/>
    </w:rPr>
  </w:style>
  <w:style w:type="character" w:styleId="ae">
    <w:name w:val="Hyperlink"/>
    <w:aliases w:val="%Hyperlink"/>
    <w:uiPriority w:val="99"/>
    <w:semiHidden/>
    <w:unhideWhenUsed/>
    <w:rsid w:val="00E85C84"/>
    <w:rPr>
      <w:color w:val="0000FF"/>
      <w:u w:val="single"/>
    </w:rPr>
  </w:style>
  <w:style w:type="paragraph" w:customStyle="1" w:styleId="af">
    <w:name w:val="Текст в заданном формате"/>
    <w:basedOn w:val="a"/>
    <w:uiPriority w:val="99"/>
    <w:rsid w:val="004D2A3E"/>
    <w:pPr>
      <w:autoSpaceDN/>
      <w:textAlignment w:val="auto"/>
    </w:pPr>
    <w:rPr>
      <w:rFonts w:ascii="Courier New" w:eastAsia="NSimSun" w:hAnsi="Courier New" w:cs="Courier New"/>
      <w:kern w:val="0"/>
      <w:sz w:val="20"/>
      <w:szCs w:val="20"/>
      <w:lang w:bidi="ar-SA"/>
    </w:rPr>
  </w:style>
  <w:style w:type="paragraph" w:styleId="af0">
    <w:name w:val="Body Text"/>
    <w:aliases w:val=" Знак2,body text,A=&gt;2=&gt;9 B5:AB,Body Text Char, Знак,BO,ID,body indent,ändrad, ändrad,EHPT,Body Text2,bt,heading_txt,bodytxy2,t,subtitle2,Orig Qstn,Original Question,doc1,Block text,CV Body Text,BODY TEXT,bul,heading3,3 indent,heading31"/>
    <w:basedOn w:val="a"/>
    <w:link w:val="af1"/>
    <w:rsid w:val="004D2A3E"/>
    <w:pPr>
      <w:widowControl/>
      <w:suppressAutoHyphens w:val="0"/>
      <w:autoSpaceDN/>
      <w:spacing w:after="120"/>
      <w:jc w:val="both"/>
      <w:textAlignment w:val="auto"/>
    </w:pPr>
    <w:rPr>
      <w:rFonts w:eastAsia="Times New Roman" w:cs="Times New Roman"/>
      <w:kern w:val="0"/>
      <w:lang w:eastAsia="ru-RU" w:bidi="ar-SA"/>
    </w:rPr>
  </w:style>
  <w:style w:type="character" w:customStyle="1" w:styleId="af1">
    <w:name w:val="Основной текст Знак"/>
    <w:aliases w:val=" Знак2 Знак,body text Знак,A=&gt;2=&gt;9 B5:AB Знак,Body Text Char Знак, Знак Знак,BO Знак,ID Знак,body indent Знак,ändrad Знак, ändrad Знак,EHPT Знак,Body Text2 Знак,bt Знак,heading_txt Знак,bodytxy2 Знак,t Знак,subtitle2 Знак,doc1 Знак"/>
    <w:basedOn w:val="a0"/>
    <w:link w:val="af0"/>
    <w:rsid w:val="004D2A3E"/>
    <w:rPr>
      <w:rFonts w:ascii="Times New Roman" w:eastAsia="Times New Roman" w:hAnsi="Times New Roman" w:cs="Times New Roman"/>
      <w:sz w:val="24"/>
      <w:szCs w:val="24"/>
      <w:lang w:eastAsia="ru-RU"/>
    </w:rPr>
  </w:style>
  <w:style w:type="character" w:customStyle="1" w:styleId="10">
    <w:name w:val="Заголовок 1 Знак"/>
    <w:aliases w:val="Раздел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1 Знак,h1 Знак"/>
    <w:basedOn w:val="a0"/>
    <w:link w:val="1"/>
    <w:rsid w:val="004D2A3E"/>
    <w:rPr>
      <w:rFonts w:ascii="Times New Roman" w:eastAsia="Times New Roman" w:hAnsi="Times New Roman" w:cs="Times New Roman"/>
      <w:b/>
      <w:bCs/>
      <w:i/>
      <w:kern w:val="32"/>
      <w:sz w:val="40"/>
      <w:szCs w:val="40"/>
      <w:lang w:eastAsia="ru-RU"/>
    </w:rPr>
  </w:style>
  <w:style w:type="character" w:customStyle="1" w:styleId="FontStyle15">
    <w:name w:val="Font Style15"/>
    <w:uiPriority w:val="99"/>
    <w:rsid w:val="007D193C"/>
    <w:rPr>
      <w:rFonts w:ascii="Times New Roman" w:hAnsi="Times New Roman" w:cs="Times New Roman" w:hint="default"/>
      <w:b/>
      <w:bCs/>
      <w:sz w:val="20"/>
      <w:szCs w:val="20"/>
    </w:rPr>
  </w:style>
</w:styles>
</file>

<file path=word/webSettings.xml><?xml version="1.0" encoding="utf-8"?>
<w:webSettings xmlns:r="http://schemas.openxmlformats.org/officeDocument/2006/relationships" xmlns:w="http://schemas.openxmlformats.org/wordprocessingml/2006/main">
  <w:divs>
    <w:div w:id="49817189">
      <w:bodyDiv w:val="1"/>
      <w:marLeft w:val="0"/>
      <w:marRight w:val="0"/>
      <w:marTop w:val="0"/>
      <w:marBottom w:val="0"/>
      <w:divBdr>
        <w:top w:val="none" w:sz="0" w:space="0" w:color="auto"/>
        <w:left w:val="none" w:sz="0" w:space="0" w:color="auto"/>
        <w:bottom w:val="none" w:sz="0" w:space="0" w:color="auto"/>
        <w:right w:val="none" w:sz="0" w:space="0" w:color="auto"/>
      </w:divBdr>
    </w:div>
    <w:div w:id="741372440">
      <w:bodyDiv w:val="1"/>
      <w:marLeft w:val="0"/>
      <w:marRight w:val="0"/>
      <w:marTop w:val="0"/>
      <w:marBottom w:val="0"/>
      <w:divBdr>
        <w:top w:val="none" w:sz="0" w:space="0" w:color="auto"/>
        <w:left w:val="none" w:sz="0" w:space="0" w:color="auto"/>
        <w:bottom w:val="none" w:sz="0" w:space="0" w:color="auto"/>
        <w:right w:val="none" w:sz="0" w:space="0" w:color="auto"/>
      </w:divBdr>
    </w:div>
    <w:div w:id="85006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A4C27-A70C-4FE2-9909-A0CB04553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1783</Words>
  <Characters>10168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Булыкина Татьяна Леонидовна</dc:creator>
  <cp:lastModifiedBy>User</cp:lastModifiedBy>
  <cp:revision>4</cp:revision>
  <cp:lastPrinted>2020-11-27T11:51:00Z</cp:lastPrinted>
  <dcterms:created xsi:type="dcterms:W3CDTF">2021-03-15T10:56:00Z</dcterms:created>
  <dcterms:modified xsi:type="dcterms:W3CDTF">2021-03-15T11:09:00Z</dcterms:modified>
</cp:coreProperties>
</file>